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5E4D3" w14:textId="77777777" w:rsidR="00AC4D36" w:rsidRDefault="00AC4D36" w:rsidP="008B4124">
      <w:pPr>
        <w:widowControl/>
        <w:jc w:val="center"/>
        <w:rPr>
          <w:rFonts w:asciiTheme="majorBidi" w:hAnsiTheme="majorBidi" w:cstheme="majorBidi"/>
          <w:b/>
          <w:bCs/>
          <w:sz w:val="20"/>
          <w:szCs w:val="20"/>
        </w:rPr>
      </w:pPr>
    </w:p>
    <w:p w14:paraId="39DF6A94" w14:textId="4F798C46" w:rsidR="00AA0CAE" w:rsidRPr="00AC4D36" w:rsidRDefault="009B0611" w:rsidP="008B4124">
      <w:pPr>
        <w:widowControl/>
        <w:jc w:val="center"/>
        <w:rPr>
          <w:rFonts w:asciiTheme="majorBidi" w:hAnsiTheme="majorBidi" w:cstheme="majorBidi"/>
          <w:b/>
          <w:bCs/>
          <w:sz w:val="26"/>
          <w:szCs w:val="26"/>
          <w:rtl/>
          <w:lang w:bidi="ar-EG"/>
        </w:rPr>
      </w:pPr>
      <w:r w:rsidRPr="00AC4D36">
        <w:rPr>
          <w:rFonts w:asciiTheme="majorBidi" w:hAnsiTheme="majorBidi" w:cstheme="majorBidi"/>
          <w:b/>
          <w:bCs/>
          <w:sz w:val="26"/>
          <w:szCs w:val="26"/>
        </w:rPr>
        <w:t>Correlation between CHA</w:t>
      </w:r>
      <w:r w:rsidRPr="00AC4D36">
        <w:rPr>
          <w:rFonts w:asciiTheme="majorBidi" w:hAnsiTheme="majorBidi" w:cstheme="majorBidi"/>
          <w:b/>
          <w:bCs/>
          <w:sz w:val="26"/>
          <w:szCs w:val="26"/>
          <w:vertAlign w:val="subscript"/>
        </w:rPr>
        <w:t>2</w:t>
      </w:r>
      <w:r w:rsidRPr="00AC4D36">
        <w:rPr>
          <w:rFonts w:asciiTheme="majorBidi" w:hAnsiTheme="majorBidi" w:cstheme="majorBidi"/>
          <w:b/>
          <w:bCs/>
          <w:sz w:val="26"/>
          <w:szCs w:val="26"/>
        </w:rPr>
        <w:t>DS</w:t>
      </w:r>
      <w:r w:rsidRPr="00AC4D36">
        <w:rPr>
          <w:rFonts w:asciiTheme="majorBidi" w:hAnsiTheme="majorBidi" w:cstheme="majorBidi"/>
          <w:b/>
          <w:bCs/>
          <w:sz w:val="26"/>
          <w:szCs w:val="26"/>
          <w:vertAlign w:val="subscript"/>
        </w:rPr>
        <w:t>2</w:t>
      </w:r>
      <w:r w:rsidRPr="00AC4D36">
        <w:rPr>
          <w:rFonts w:asciiTheme="majorBidi" w:hAnsiTheme="majorBidi" w:cstheme="majorBidi"/>
          <w:b/>
          <w:bCs/>
          <w:sz w:val="26"/>
          <w:szCs w:val="26"/>
        </w:rPr>
        <w:t>VASc Score</w:t>
      </w:r>
      <w:r w:rsidR="00130422" w:rsidRPr="00AC4D36">
        <w:rPr>
          <w:rFonts w:asciiTheme="majorBidi" w:hAnsiTheme="majorBidi" w:cstheme="majorBidi"/>
          <w:b/>
          <w:bCs/>
          <w:sz w:val="26"/>
          <w:szCs w:val="26"/>
          <w:lang w:bidi="ar-EG"/>
        </w:rPr>
        <w:t xml:space="preserve"> </w:t>
      </w:r>
      <w:r w:rsidRPr="00AC4D36">
        <w:rPr>
          <w:rFonts w:asciiTheme="majorBidi" w:hAnsiTheme="majorBidi" w:cstheme="majorBidi"/>
          <w:b/>
          <w:bCs/>
          <w:sz w:val="26"/>
          <w:szCs w:val="26"/>
        </w:rPr>
        <w:t>and LV Longitudinal Strain in Acute Coronary</w:t>
      </w:r>
      <w:r w:rsidR="00130422" w:rsidRPr="00AC4D36">
        <w:rPr>
          <w:rFonts w:asciiTheme="majorBidi" w:hAnsiTheme="majorBidi" w:cstheme="majorBidi"/>
          <w:b/>
          <w:bCs/>
          <w:sz w:val="26"/>
          <w:szCs w:val="26"/>
          <w:lang w:bidi="ar-EG"/>
        </w:rPr>
        <w:t xml:space="preserve"> </w:t>
      </w:r>
      <w:r w:rsidRPr="00AC4D36">
        <w:rPr>
          <w:rFonts w:asciiTheme="majorBidi" w:hAnsiTheme="majorBidi" w:cstheme="majorBidi"/>
          <w:b/>
          <w:bCs/>
          <w:sz w:val="26"/>
          <w:szCs w:val="26"/>
        </w:rPr>
        <w:t>Syndrome</w:t>
      </w:r>
    </w:p>
    <w:p w14:paraId="05074328" w14:textId="77777777" w:rsidR="00130422" w:rsidRPr="008B4124" w:rsidRDefault="00E306D1" w:rsidP="008B4124">
      <w:pPr>
        <w:widowControl/>
        <w:jc w:val="center"/>
        <w:rPr>
          <w:rFonts w:asciiTheme="majorBidi" w:hAnsiTheme="majorBidi" w:cstheme="majorBidi"/>
          <w:sz w:val="20"/>
          <w:szCs w:val="20"/>
        </w:rPr>
      </w:pPr>
      <w:bookmarkStart w:id="0" w:name="_GoBack"/>
      <w:proofErr w:type="spellStart"/>
      <w:r w:rsidRPr="008B4124">
        <w:rPr>
          <w:rFonts w:asciiTheme="majorBidi" w:hAnsiTheme="majorBidi" w:cstheme="majorBidi"/>
          <w:b/>
          <w:sz w:val="20"/>
          <w:szCs w:val="20"/>
        </w:rPr>
        <w:t>S</w:t>
      </w:r>
      <w:r w:rsidR="009B0611" w:rsidRPr="008B4124">
        <w:rPr>
          <w:rFonts w:asciiTheme="majorBidi" w:hAnsiTheme="majorBidi" w:cstheme="majorBidi"/>
          <w:b/>
          <w:sz w:val="20"/>
          <w:szCs w:val="20"/>
        </w:rPr>
        <w:t>.</w:t>
      </w:r>
      <w:r w:rsidRPr="008B4124">
        <w:rPr>
          <w:rFonts w:asciiTheme="majorBidi" w:hAnsiTheme="majorBidi" w:cstheme="majorBidi"/>
          <w:b/>
          <w:sz w:val="20"/>
          <w:szCs w:val="20"/>
        </w:rPr>
        <w:t>A</w:t>
      </w:r>
      <w:r w:rsidR="009B0611" w:rsidRPr="008B4124">
        <w:rPr>
          <w:rFonts w:asciiTheme="majorBidi" w:hAnsiTheme="majorBidi" w:cstheme="majorBidi"/>
          <w:b/>
          <w:sz w:val="20"/>
          <w:szCs w:val="20"/>
        </w:rPr>
        <w:t>.</w:t>
      </w:r>
      <w:r w:rsidRPr="008B4124">
        <w:rPr>
          <w:rFonts w:asciiTheme="majorBidi" w:hAnsiTheme="majorBidi" w:cstheme="majorBidi"/>
          <w:b/>
          <w:sz w:val="20"/>
          <w:szCs w:val="20"/>
        </w:rPr>
        <w:t>Goda</w:t>
      </w:r>
      <w:proofErr w:type="spellEnd"/>
      <w:r w:rsidR="009B0611" w:rsidRPr="008B4124">
        <w:rPr>
          <w:rFonts w:asciiTheme="majorBidi" w:hAnsiTheme="majorBidi" w:cstheme="majorBidi"/>
          <w:b/>
          <w:sz w:val="20"/>
          <w:szCs w:val="20"/>
        </w:rPr>
        <w:t xml:space="preserve">, </w:t>
      </w:r>
      <w:proofErr w:type="spellStart"/>
      <w:r w:rsidR="009B0611" w:rsidRPr="008B4124">
        <w:rPr>
          <w:rFonts w:asciiTheme="majorBidi" w:hAnsiTheme="majorBidi" w:cstheme="majorBidi"/>
          <w:b/>
          <w:sz w:val="20"/>
          <w:szCs w:val="20"/>
        </w:rPr>
        <w:t>E.A.El</w:t>
      </w:r>
      <w:proofErr w:type="spellEnd"/>
      <w:r w:rsidR="009B0611" w:rsidRPr="008B4124">
        <w:rPr>
          <w:rFonts w:asciiTheme="majorBidi" w:hAnsiTheme="majorBidi" w:cstheme="majorBidi"/>
          <w:b/>
          <w:sz w:val="20"/>
          <w:szCs w:val="20"/>
        </w:rPr>
        <w:t xml:space="preserve"> </w:t>
      </w:r>
      <w:proofErr w:type="spellStart"/>
      <w:r w:rsidR="009B0611" w:rsidRPr="008B4124">
        <w:rPr>
          <w:rFonts w:asciiTheme="majorBidi" w:hAnsiTheme="majorBidi" w:cstheme="majorBidi"/>
          <w:b/>
          <w:sz w:val="20"/>
          <w:szCs w:val="20"/>
        </w:rPr>
        <w:t>Drky</w:t>
      </w:r>
      <w:proofErr w:type="spellEnd"/>
      <w:r w:rsidR="009B0611" w:rsidRPr="008B4124">
        <w:rPr>
          <w:rFonts w:asciiTheme="majorBidi" w:hAnsiTheme="majorBidi" w:cstheme="majorBidi"/>
          <w:b/>
          <w:sz w:val="20"/>
          <w:szCs w:val="20"/>
        </w:rPr>
        <w:t xml:space="preserve">, </w:t>
      </w:r>
      <w:proofErr w:type="spellStart"/>
      <w:r w:rsidR="009B0611" w:rsidRPr="008B4124">
        <w:rPr>
          <w:rFonts w:asciiTheme="majorBidi" w:hAnsiTheme="majorBidi" w:cstheme="majorBidi"/>
          <w:b/>
          <w:sz w:val="20"/>
          <w:szCs w:val="20"/>
        </w:rPr>
        <w:t>S.A.Moustafa</w:t>
      </w:r>
      <w:proofErr w:type="spellEnd"/>
      <w:r w:rsidR="009B0611" w:rsidRPr="008B4124">
        <w:rPr>
          <w:rFonts w:asciiTheme="majorBidi" w:hAnsiTheme="majorBidi" w:cstheme="majorBidi"/>
          <w:b/>
          <w:sz w:val="20"/>
          <w:szCs w:val="20"/>
        </w:rPr>
        <w:t xml:space="preserve"> and H.I.Allam </w:t>
      </w:r>
    </w:p>
    <w:bookmarkEnd w:id="0"/>
    <w:p w14:paraId="5EA593F4" w14:textId="77777777" w:rsidR="00AC4D36" w:rsidRDefault="009B0611" w:rsidP="008B4124">
      <w:pPr>
        <w:widowControl/>
        <w:jc w:val="center"/>
        <w:rPr>
          <w:rFonts w:asciiTheme="majorBidi" w:hAnsiTheme="majorBidi" w:cstheme="majorBidi"/>
          <w:sz w:val="20"/>
          <w:szCs w:val="20"/>
        </w:rPr>
      </w:pPr>
      <w:r w:rsidRPr="008B4124">
        <w:rPr>
          <w:rFonts w:asciiTheme="majorBidi" w:hAnsiTheme="majorBidi" w:cstheme="majorBidi"/>
          <w:sz w:val="20"/>
          <w:szCs w:val="20"/>
        </w:rPr>
        <w:t>Cardiology,</w:t>
      </w:r>
      <w:r w:rsidRPr="008B4124">
        <w:rPr>
          <w:rFonts w:asciiTheme="majorBidi" w:hAnsiTheme="majorBidi" w:cstheme="majorBidi"/>
          <w:spacing w:val="-2"/>
          <w:sz w:val="20"/>
          <w:szCs w:val="20"/>
        </w:rPr>
        <w:t xml:space="preserve"> </w:t>
      </w:r>
      <w:r w:rsidRPr="008B4124">
        <w:rPr>
          <w:rFonts w:asciiTheme="majorBidi" w:hAnsiTheme="majorBidi" w:cstheme="majorBidi"/>
          <w:sz w:val="20"/>
          <w:szCs w:val="20"/>
        </w:rPr>
        <w:t>Dept.,</w:t>
      </w:r>
      <w:r w:rsidRPr="008B4124">
        <w:rPr>
          <w:rFonts w:asciiTheme="majorBidi" w:hAnsiTheme="majorBidi" w:cstheme="majorBidi"/>
          <w:spacing w:val="-2"/>
          <w:sz w:val="20"/>
          <w:szCs w:val="20"/>
        </w:rPr>
        <w:t xml:space="preserve"> </w:t>
      </w:r>
      <w:r w:rsidRPr="008B4124">
        <w:rPr>
          <w:rFonts w:asciiTheme="majorBidi" w:hAnsiTheme="majorBidi" w:cstheme="majorBidi"/>
          <w:sz w:val="20"/>
          <w:szCs w:val="20"/>
        </w:rPr>
        <w:t>Faculty</w:t>
      </w:r>
      <w:r w:rsidRPr="008B4124">
        <w:rPr>
          <w:rFonts w:asciiTheme="majorBidi" w:hAnsiTheme="majorBidi" w:cstheme="majorBidi"/>
          <w:spacing w:val="-4"/>
          <w:sz w:val="20"/>
          <w:szCs w:val="20"/>
        </w:rPr>
        <w:t xml:space="preserve"> </w:t>
      </w:r>
      <w:r w:rsidRPr="008B4124">
        <w:rPr>
          <w:rFonts w:asciiTheme="majorBidi" w:hAnsiTheme="majorBidi" w:cstheme="majorBidi"/>
          <w:sz w:val="20"/>
          <w:szCs w:val="20"/>
        </w:rPr>
        <w:t>of</w:t>
      </w:r>
      <w:r w:rsidRPr="008B4124">
        <w:rPr>
          <w:rFonts w:asciiTheme="majorBidi" w:hAnsiTheme="majorBidi" w:cstheme="majorBidi"/>
          <w:spacing w:val="-2"/>
          <w:sz w:val="20"/>
          <w:szCs w:val="20"/>
        </w:rPr>
        <w:t xml:space="preserve"> </w:t>
      </w:r>
      <w:r w:rsidRPr="008B4124">
        <w:rPr>
          <w:rFonts w:asciiTheme="majorBidi" w:hAnsiTheme="majorBidi" w:cstheme="majorBidi"/>
          <w:sz w:val="20"/>
          <w:szCs w:val="20"/>
        </w:rPr>
        <w:t>Medicine,</w:t>
      </w:r>
      <w:r w:rsidRPr="008B4124">
        <w:rPr>
          <w:rFonts w:asciiTheme="majorBidi" w:hAnsiTheme="majorBidi" w:cstheme="majorBidi"/>
          <w:spacing w:val="-2"/>
          <w:sz w:val="20"/>
          <w:szCs w:val="20"/>
        </w:rPr>
        <w:t xml:space="preserve"> </w:t>
      </w:r>
      <w:r w:rsidRPr="008B4124">
        <w:rPr>
          <w:rFonts w:asciiTheme="majorBidi" w:hAnsiTheme="majorBidi" w:cstheme="majorBidi"/>
          <w:sz w:val="20"/>
          <w:szCs w:val="20"/>
        </w:rPr>
        <w:t>Benha</w:t>
      </w:r>
      <w:r w:rsidRPr="008B4124">
        <w:rPr>
          <w:rFonts w:asciiTheme="majorBidi" w:hAnsiTheme="majorBidi" w:cstheme="majorBidi"/>
          <w:spacing w:val="-2"/>
          <w:sz w:val="20"/>
          <w:szCs w:val="20"/>
        </w:rPr>
        <w:t xml:space="preserve"> </w:t>
      </w:r>
      <w:r w:rsidRPr="008B4124">
        <w:rPr>
          <w:rFonts w:asciiTheme="majorBidi" w:hAnsiTheme="majorBidi" w:cstheme="majorBidi"/>
          <w:sz w:val="20"/>
          <w:szCs w:val="20"/>
        </w:rPr>
        <w:t>Univ.,</w:t>
      </w:r>
      <w:r w:rsidRPr="008B4124">
        <w:rPr>
          <w:rFonts w:asciiTheme="majorBidi" w:hAnsiTheme="majorBidi" w:cstheme="majorBidi"/>
          <w:spacing w:val="-3"/>
          <w:sz w:val="20"/>
          <w:szCs w:val="20"/>
        </w:rPr>
        <w:t xml:space="preserve"> </w:t>
      </w:r>
      <w:proofErr w:type="spellStart"/>
      <w:r w:rsidRPr="008B4124">
        <w:rPr>
          <w:rFonts w:asciiTheme="majorBidi" w:hAnsiTheme="majorBidi" w:cstheme="majorBidi"/>
          <w:sz w:val="20"/>
          <w:szCs w:val="20"/>
        </w:rPr>
        <w:t>Benha</w:t>
      </w:r>
      <w:proofErr w:type="spellEnd"/>
      <w:r w:rsidRPr="008B4124">
        <w:rPr>
          <w:rFonts w:asciiTheme="majorBidi" w:hAnsiTheme="majorBidi" w:cstheme="majorBidi"/>
          <w:sz w:val="20"/>
          <w:szCs w:val="20"/>
        </w:rPr>
        <w:t>,</w:t>
      </w:r>
      <w:r w:rsidRPr="008B4124">
        <w:rPr>
          <w:rFonts w:asciiTheme="majorBidi" w:hAnsiTheme="majorBidi" w:cstheme="majorBidi"/>
          <w:spacing w:val="-2"/>
          <w:sz w:val="20"/>
          <w:szCs w:val="20"/>
        </w:rPr>
        <w:t xml:space="preserve"> </w:t>
      </w:r>
      <w:r w:rsidRPr="008B4124">
        <w:rPr>
          <w:rFonts w:asciiTheme="majorBidi" w:hAnsiTheme="majorBidi" w:cstheme="majorBidi"/>
          <w:sz w:val="20"/>
          <w:szCs w:val="20"/>
        </w:rPr>
        <w:t>Egypt</w:t>
      </w:r>
    </w:p>
    <w:p w14:paraId="4B087BF8" w14:textId="1129E783" w:rsidR="00AA0CAE" w:rsidRPr="00AC4D36" w:rsidRDefault="009B0611" w:rsidP="008B4124">
      <w:pPr>
        <w:widowControl/>
        <w:jc w:val="center"/>
        <w:rPr>
          <w:rStyle w:val="Hyperlink"/>
          <w:rFonts w:asciiTheme="majorBidi" w:hAnsiTheme="majorBidi" w:cstheme="majorBidi"/>
          <w:color w:val="auto"/>
          <w:sz w:val="20"/>
          <w:szCs w:val="20"/>
          <w:u w:val="none"/>
        </w:rPr>
      </w:pPr>
      <w:r w:rsidRPr="00AC4D36">
        <w:rPr>
          <w:rFonts w:asciiTheme="majorBidi" w:hAnsiTheme="majorBidi" w:cstheme="majorBidi"/>
          <w:spacing w:val="-47"/>
          <w:sz w:val="20"/>
          <w:szCs w:val="20"/>
        </w:rPr>
        <w:t xml:space="preserve"> </w:t>
      </w:r>
      <w:hyperlink r:id="rId8" w:history="1">
        <w:r w:rsidRPr="00AC4D36">
          <w:rPr>
            <w:rStyle w:val="Hyperlink"/>
            <w:rFonts w:asciiTheme="majorBidi" w:hAnsiTheme="majorBidi" w:cstheme="majorBidi"/>
            <w:color w:val="auto"/>
            <w:sz w:val="20"/>
            <w:szCs w:val="20"/>
            <w:u w:val="none"/>
          </w:rPr>
          <w:t>E-Mail</w:t>
        </w:r>
        <w:r w:rsidR="009751AF" w:rsidRPr="00AC4D36">
          <w:rPr>
            <w:rStyle w:val="Hyperlink"/>
            <w:rFonts w:asciiTheme="majorBidi" w:hAnsiTheme="majorBidi" w:cstheme="majorBidi"/>
            <w:color w:val="auto"/>
            <w:sz w:val="20"/>
            <w:szCs w:val="20"/>
            <w:u w:val="none"/>
          </w:rPr>
          <w:t>:Sara.Radwan20</w:t>
        </w:r>
        <w:r w:rsidRPr="00AC4D36">
          <w:rPr>
            <w:rStyle w:val="Hyperlink"/>
            <w:rFonts w:asciiTheme="majorBidi" w:hAnsiTheme="majorBidi" w:cstheme="majorBidi"/>
            <w:color w:val="auto"/>
            <w:sz w:val="20"/>
            <w:szCs w:val="20"/>
            <w:u w:val="none"/>
          </w:rPr>
          <w:t>@fmed.bu.edu.eg</w:t>
        </w:r>
      </w:hyperlink>
    </w:p>
    <w:p w14:paraId="1F88A885" w14:textId="77777777" w:rsidR="00AA0CAE" w:rsidRPr="008B4124" w:rsidRDefault="009B0611" w:rsidP="008B4124">
      <w:pPr>
        <w:pStyle w:val="Heading1"/>
        <w:widowControl/>
        <w:spacing w:before="0"/>
        <w:ind w:left="0"/>
        <w:jc w:val="both"/>
        <w:rPr>
          <w:rFonts w:asciiTheme="majorBidi" w:hAnsiTheme="majorBidi" w:cstheme="majorBidi"/>
        </w:rPr>
      </w:pPr>
      <w:r w:rsidRPr="008B4124">
        <w:rPr>
          <w:rFonts w:asciiTheme="majorBidi" w:hAnsiTheme="majorBidi" w:cstheme="majorBidi"/>
        </w:rPr>
        <w:t>Abstract</w:t>
      </w:r>
    </w:p>
    <w:p w14:paraId="17BC55E4" w14:textId="77777777" w:rsidR="006E57EA" w:rsidRPr="008B4124" w:rsidRDefault="006E57EA" w:rsidP="008B4124">
      <w:pPr>
        <w:pStyle w:val="BodyText"/>
        <w:widowControl/>
        <w:ind w:left="0" w:firstLine="360"/>
        <w:rPr>
          <w:rFonts w:asciiTheme="majorBidi" w:hAnsiTheme="majorBidi" w:cstheme="majorBidi"/>
        </w:rPr>
      </w:pPr>
      <w:r w:rsidRPr="008B4124">
        <w:rPr>
          <w:rFonts w:asciiTheme="majorBidi" w:hAnsiTheme="majorBidi" w:cstheme="majorBidi"/>
        </w:rPr>
        <w:t xml:space="preserve">Objective: To examine the predictive efficacy of CHA2DS2-VASc score in predicting CAD severity with respect to SYNTAX (Synergy between Percutaneous Coronary Intervention with </w:t>
      </w:r>
      <w:proofErr w:type="spellStart"/>
      <w:r w:rsidRPr="008B4124">
        <w:rPr>
          <w:rFonts w:asciiTheme="majorBidi" w:hAnsiTheme="majorBidi" w:cstheme="majorBidi"/>
        </w:rPr>
        <w:t>Taxus</w:t>
      </w:r>
      <w:proofErr w:type="spellEnd"/>
      <w:r w:rsidRPr="008B4124">
        <w:rPr>
          <w:rFonts w:asciiTheme="majorBidi" w:hAnsiTheme="majorBidi" w:cstheme="majorBidi"/>
        </w:rPr>
        <w:t xml:space="preserve"> and Cardiac Surgery) and GLS in patients with Acute Myocardial Infarction (AMI) severity. Patients with atrial fibrillation (AF) are assessed for thrombotic risk using the CHA2DS2-VASc score. In patients with an acute coronary syndrome, regardless of AF, was recently demonstrated to predict severe </w:t>
      </w:r>
      <w:proofErr w:type="spellStart"/>
      <w:r w:rsidRPr="008B4124">
        <w:rPr>
          <w:rFonts w:asciiTheme="majorBidi" w:hAnsiTheme="majorBidi" w:cstheme="majorBidi"/>
        </w:rPr>
        <w:t>unfavourable</w:t>
      </w:r>
      <w:proofErr w:type="spellEnd"/>
      <w:r w:rsidRPr="008B4124">
        <w:rPr>
          <w:rFonts w:asciiTheme="majorBidi" w:hAnsiTheme="majorBidi" w:cstheme="majorBidi"/>
        </w:rPr>
        <w:t xml:space="preserve"> clinical outcomes. Methods: ACS patients who had had coronary angiography were separated into three groups based on their SYNTAX scores and a total of 577 individuals were included in this study retrospectively (low, intermediate, and high). Each patient's CHA2DS2-VASc score was computed. The participants were divided into three groups for the study. </w:t>
      </w:r>
      <w:proofErr w:type="gramStart"/>
      <w:r w:rsidRPr="008B4124">
        <w:rPr>
          <w:rFonts w:asciiTheme="majorBidi" w:hAnsiTheme="majorBidi" w:cstheme="majorBidi"/>
        </w:rPr>
        <w:t>Zero, one, two, three, or four.</w:t>
      </w:r>
      <w:proofErr w:type="gramEnd"/>
    </w:p>
    <w:p w14:paraId="0FA34756" w14:textId="77777777" w:rsidR="00AC4D36" w:rsidRDefault="00AC4D36" w:rsidP="008B4124">
      <w:pPr>
        <w:pStyle w:val="BodyText"/>
        <w:widowControl/>
        <w:ind w:left="0"/>
        <w:rPr>
          <w:rFonts w:asciiTheme="majorBidi" w:hAnsiTheme="majorBidi" w:cstheme="majorBidi"/>
          <w:b/>
        </w:rPr>
      </w:pPr>
    </w:p>
    <w:p w14:paraId="2430E616" w14:textId="2F37BDF5" w:rsidR="00AA0CAE" w:rsidRPr="008B4124" w:rsidRDefault="009B0611" w:rsidP="008B4124">
      <w:pPr>
        <w:pStyle w:val="BodyText"/>
        <w:widowControl/>
        <w:ind w:left="0"/>
        <w:rPr>
          <w:rFonts w:asciiTheme="majorBidi" w:hAnsiTheme="majorBidi" w:cstheme="majorBidi"/>
        </w:rPr>
      </w:pPr>
      <w:r w:rsidRPr="008B4124">
        <w:rPr>
          <w:rFonts w:asciiTheme="majorBidi" w:hAnsiTheme="majorBidi" w:cstheme="majorBidi"/>
          <w:b/>
        </w:rPr>
        <w:t>Keywords:</w:t>
      </w:r>
      <w:r w:rsidRPr="008B4124">
        <w:rPr>
          <w:rFonts w:asciiTheme="majorBidi" w:hAnsiTheme="majorBidi" w:cstheme="majorBidi"/>
          <w:b/>
          <w:spacing w:val="4"/>
        </w:rPr>
        <w:t xml:space="preserve"> </w:t>
      </w:r>
      <w:r w:rsidRPr="008B4124">
        <w:rPr>
          <w:rFonts w:asciiTheme="majorBidi" w:hAnsiTheme="majorBidi" w:cstheme="majorBidi"/>
        </w:rPr>
        <w:t>Acute coronary syndrome, CHA2DS2-VASc score, LV global longitudinal strain, severity of coronary artery disease.</w:t>
      </w:r>
    </w:p>
    <w:p w14:paraId="2BF9BCAC" w14:textId="77777777" w:rsidR="0005725E" w:rsidRDefault="0005725E" w:rsidP="008B4124">
      <w:pPr>
        <w:pStyle w:val="Heading1"/>
        <w:widowControl/>
        <w:tabs>
          <w:tab w:val="left" w:pos="842"/>
        </w:tabs>
        <w:spacing w:before="0"/>
        <w:ind w:left="0"/>
        <w:jc w:val="both"/>
        <w:rPr>
          <w:rFonts w:asciiTheme="majorBidi" w:hAnsiTheme="majorBidi" w:cstheme="majorBidi"/>
        </w:rPr>
      </w:pPr>
    </w:p>
    <w:p w14:paraId="05F4714F" w14:textId="77777777" w:rsidR="00AC4D36" w:rsidRPr="008B4124" w:rsidRDefault="00AC4D36" w:rsidP="008B4124">
      <w:pPr>
        <w:pStyle w:val="Heading1"/>
        <w:widowControl/>
        <w:tabs>
          <w:tab w:val="left" w:pos="842"/>
        </w:tabs>
        <w:spacing w:before="0"/>
        <w:ind w:left="0"/>
        <w:jc w:val="both"/>
        <w:rPr>
          <w:rFonts w:asciiTheme="majorBidi" w:hAnsiTheme="majorBidi" w:cstheme="majorBidi"/>
        </w:rPr>
        <w:sectPr w:rsidR="00AC4D36" w:rsidRPr="008B4124" w:rsidSect="0044492D">
          <w:headerReference w:type="even" r:id="rId9"/>
          <w:headerReference w:type="default" r:id="rId10"/>
          <w:footerReference w:type="even" r:id="rId11"/>
          <w:footerReference w:type="default" r:id="rId12"/>
          <w:headerReference w:type="first" r:id="rId13"/>
          <w:footerReference w:type="first" r:id="rId14"/>
          <w:type w:val="continuous"/>
          <w:pgSz w:w="11910" w:h="16840" w:code="9"/>
          <w:pgMar w:top="1440" w:right="1110" w:bottom="1440" w:left="1080" w:header="706" w:footer="706" w:gutter="0"/>
          <w:pgNumType w:start="105"/>
          <w:cols w:space="720"/>
          <w:titlePg/>
          <w:docGrid w:linePitch="299"/>
        </w:sectPr>
      </w:pPr>
    </w:p>
    <w:p w14:paraId="703CCC45" w14:textId="0DAB869F" w:rsidR="00AA0CAE" w:rsidRPr="008B4124" w:rsidRDefault="00D84EB3" w:rsidP="008B4124">
      <w:pPr>
        <w:pStyle w:val="Heading1"/>
        <w:widowControl/>
        <w:tabs>
          <w:tab w:val="left" w:pos="842"/>
        </w:tabs>
        <w:spacing w:before="0"/>
        <w:ind w:left="0"/>
        <w:jc w:val="both"/>
        <w:rPr>
          <w:rFonts w:asciiTheme="majorBidi" w:hAnsiTheme="majorBidi" w:cstheme="majorBidi"/>
        </w:rPr>
      </w:pPr>
      <w:r w:rsidRPr="008B4124">
        <w:rPr>
          <w:rFonts w:asciiTheme="majorBidi" w:hAnsiTheme="majorBidi" w:cstheme="majorBidi"/>
        </w:rPr>
        <w:lastRenderedPageBreak/>
        <w:t>1.</w:t>
      </w:r>
      <w:r w:rsidR="00AC4D36">
        <w:rPr>
          <w:rFonts w:asciiTheme="majorBidi" w:hAnsiTheme="majorBidi" w:cstheme="majorBidi"/>
        </w:rPr>
        <w:t xml:space="preserve"> </w:t>
      </w:r>
      <w:r w:rsidR="009B0611" w:rsidRPr="008B4124">
        <w:rPr>
          <w:rFonts w:asciiTheme="majorBidi" w:hAnsiTheme="majorBidi" w:cstheme="majorBidi"/>
        </w:rPr>
        <w:t>Introduction</w:t>
      </w:r>
    </w:p>
    <w:p w14:paraId="713B0622" w14:textId="77777777" w:rsidR="006E57EA" w:rsidRPr="008B4124" w:rsidRDefault="006E57EA" w:rsidP="008B4124">
      <w:pPr>
        <w:pStyle w:val="BodyText"/>
        <w:widowControl/>
        <w:ind w:left="0" w:firstLine="360"/>
        <w:rPr>
          <w:rFonts w:asciiTheme="majorBidi" w:hAnsiTheme="majorBidi" w:cstheme="majorBidi"/>
        </w:rPr>
      </w:pPr>
      <w:r w:rsidRPr="008B4124">
        <w:rPr>
          <w:rFonts w:asciiTheme="majorBidi" w:hAnsiTheme="majorBidi" w:cstheme="majorBidi"/>
        </w:rPr>
        <w:t>There is a broad range of cardiovascular (CV) causes of morbidity and death in individuals with acute coronary syndrome (ACS). [1]</w:t>
      </w:r>
    </w:p>
    <w:p w14:paraId="00674A28" w14:textId="77777777" w:rsidR="006E57EA" w:rsidRPr="008B4124" w:rsidRDefault="006E57EA" w:rsidP="008B4124">
      <w:pPr>
        <w:pStyle w:val="BodyText"/>
        <w:widowControl/>
        <w:ind w:left="0" w:firstLine="360"/>
        <w:rPr>
          <w:rFonts w:asciiTheme="majorBidi" w:hAnsiTheme="majorBidi" w:cstheme="majorBidi"/>
        </w:rPr>
      </w:pPr>
      <w:r w:rsidRPr="008B4124">
        <w:rPr>
          <w:rFonts w:asciiTheme="majorBidi" w:hAnsiTheme="majorBidi" w:cstheme="majorBidi"/>
        </w:rPr>
        <w:t>Myocardial ischemia with abrupt symptoms is known as an acute coronary syndrome (ACS), and it occurs when the heart's oxygen demand isn't significantly increased by any external factors. Chronic coronary atherosclerosis-related lesions are the most common cause of acute coronary syndrome (ACS). ACS may appear as either ST segment elevation or non-ST segment elevation on the first ECG, depending on the patient's symptoms. [2].</w:t>
      </w:r>
    </w:p>
    <w:p w14:paraId="15948121" w14:textId="4E83E8E3" w:rsidR="006E57EA" w:rsidRPr="008B4124" w:rsidRDefault="006E57EA" w:rsidP="00AC4D36">
      <w:pPr>
        <w:pStyle w:val="BodyText"/>
        <w:widowControl/>
        <w:ind w:left="0" w:firstLine="360"/>
        <w:rPr>
          <w:rFonts w:asciiTheme="majorBidi" w:hAnsiTheme="majorBidi" w:cstheme="majorBidi"/>
        </w:rPr>
      </w:pPr>
      <w:r w:rsidRPr="008B4124">
        <w:rPr>
          <w:rFonts w:asciiTheme="majorBidi" w:hAnsiTheme="majorBidi" w:cstheme="majorBidi"/>
        </w:rPr>
        <w:t xml:space="preserve">Medical therapy and invasive coronary angiography (CAG) are the primary therapeutic options for ACS (3, 4). CAG determines the severity of CAD, which determines the most prevalent therapy for ACS (3, 5). According to various coronary lesions' characteristics, a web-based score called SYNTAX (which stands for "Synergy between Percutaneous Coronary Intervention with </w:t>
      </w:r>
      <w:proofErr w:type="spellStart"/>
      <w:r w:rsidRPr="008B4124">
        <w:rPr>
          <w:rFonts w:asciiTheme="majorBidi" w:hAnsiTheme="majorBidi" w:cstheme="majorBidi"/>
        </w:rPr>
        <w:t>Taxus</w:t>
      </w:r>
      <w:proofErr w:type="spellEnd"/>
      <w:r w:rsidRPr="008B4124">
        <w:rPr>
          <w:rFonts w:asciiTheme="majorBidi" w:hAnsiTheme="majorBidi" w:cstheme="majorBidi"/>
        </w:rPr>
        <w:t xml:space="preserve"> and Cardiac Surgery") has been developed </w:t>
      </w:r>
      <w:r w:rsidR="00AC4D36">
        <w:rPr>
          <w:rFonts w:asciiTheme="majorBidi" w:hAnsiTheme="majorBidi" w:cstheme="majorBidi"/>
        </w:rPr>
        <w:t>[</w:t>
      </w:r>
      <w:r w:rsidRPr="008B4124">
        <w:rPr>
          <w:rFonts w:asciiTheme="majorBidi" w:hAnsiTheme="majorBidi" w:cstheme="majorBidi"/>
        </w:rPr>
        <w:t>6</w:t>
      </w:r>
      <w:r w:rsidR="00AC4D36">
        <w:rPr>
          <w:rFonts w:asciiTheme="majorBidi" w:hAnsiTheme="majorBidi" w:cstheme="majorBidi"/>
        </w:rPr>
        <w:t>]</w:t>
      </w:r>
      <w:r w:rsidRPr="008B4124">
        <w:rPr>
          <w:rFonts w:asciiTheme="majorBidi" w:hAnsiTheme="majorBidi" w:cstheme="majorBidi"/>
        </w:rPr>
        <w:t>.</w:t>
      </w:r>
    </w:p>
    <w:p w14:paraId="7D2A82FD" w14:textId="11E07982" w:rsidR="006E57EA" w:rsidRPr="008B4124" w:rsidRDefault="006E57EA" w:rsidP="00AC4D36">
      <w:pPr>
        <w:pStyle w:val="BodyText"/>
        <w:widowControl/>
        <w:ind w:left="0" w:firstLine="360"/>
        <w:rPr>
          <w:rFonts w:asciiTheme="majorBidi" w:hAnsiTheme="majorBidi" w:cstheme="majorBidi"/>
        </w:rPr>
      </w:pPr>
      <w:r w:rsidRPr="008B4124">
        <w:rPr>
          <w:rFonts w:asciiTheme="majorBidi" w:hAnsiTheme="majorBidi" w:cstheme="majorBidi"/>
        </w:rPr>
        <w:t xml:space="preserve">Patients with coronary artery disease (CAD) may benefit from the incorporation of speckle tracking echocardiography (STE) into clinical </w:t>
      </w:r>
      <w:proofErr w:type="spellStart"/>
      <w:r w:rsidRPr="008B4124">
        <w:rPr>
          <w:rFonts w:asciiTheme="majorBidi" w:hAnsiTheme="majorBidi" w:cstheme="majorBidi"/>
        </w:rPr>
        <w:t>practise</w:t>
      </w:r>
      <w:proofErr w:type="spellEnd"/>
      <w:r w:rsidRPr="008B4124">
        <w:rPr>
          <w:rFonts w:asciiTheme="majorBidi" w:hAnsiTheme="majorBidi" w:cstheme="majorBidi"/>
        </w:rPr>
        <w:t>, which has been validated for diagnosis and risk stratification in a variety of cardiac diseases [7</w:t>
      </w:r>
      <w:r w:rsidR="00AC4D36">
        <w:rPr>
          <w:rFonts w:asciiTheme="majorBidi" w:hAnsiTheme="majorBidi" w:cstheme="majorBidi"/>
        </w:rPr>
        <w:t>,</w:t>
      </w:r>
      <w:r w:rsidRPr="008B4124">
        <w:rPr>
          <w:rFonts w:asciiTheme="majorBidi" w:hAnsiTheme="majorBidi" w:cstheme="majorBidi"/>
        </w:rPr>
        <w:t>10].</w:t>
      </w:r>
    </w:p>
    <w:p w14:paraId="62F00E5D" w14:textId="6EE82CEF" w:rsidR="006E57EA" w:rsidRPr="008B4124" w:rsidRDefault="006E57EA" w:rsidP="00AC4D36">
      <w:pPr>
        <w:pStyle w:val="BodyText"/>
        <w:widowControl/>
        <w:ind w:left="0" w:firstLine="360"/>
        <w:rPr>
          <w:rFonts w:asciiTheme="majorBidi" w:hAnsiTheme="majorBidi" w:cstheme="majorBidi"/>
        </w:rPr>
      </w:pPr>
      <w:r w:rsidRPr="008B4124">
        <w:rPr>
          <w:rFonts w:asciiTheme="majorBidi" w:hAnsiTheme="majorBidi" w:cstheme="majorBidi"/>
        </w:rPr>
        <w:t xml:space="preserve">There are numerous ways in which speckle tracking analysis may be used to determine the usual ischemic </w:t>
      </w:r>
      <w:proofErr w:type="spellStart"/>
      <w:r w:rsidRPr="008B4124">
        <w:rPr>
          <w:rFonts w:asciiTheme="majorBidi" w:hAnsiTheme="majorBidi" w:cstheme="majorBidi"/>
        </w:rPr>
        <w:t>subendocardial</w:t>
      </w:r>
      <w:proofErr w:type="spellEnd"/>
      <w:r w:rsidRPr="008B4124">
        <w:rPr>
          <w:rFonts w:asciiTheme="majorBidi" w:hAnsiTheme="majorBidi" w:cstheme="majorBidi"/>
        </w:rPr>
        <w:t xml:space="preserve"> damage. </w:t>
      </w:r>
      <w:proofErr w:type="spellStart"/>
      <w:r w:rsidRPr="008B4124">
        <w:rPr>
          <w:rFonts w:asciiTheme="majorBidi" w:hAnsiTheme="majorBidi" w:cstheme="majorBidi"/>
        </w:rPr>
        <w:t>subendocardial</w:t>
      </w:r>
      <w:proofErr w:type="spellEnd"/>
      <w:r w:rsidRPr="008B4124">
        <w:rPr>
          <w:rFonts w:asciiTheme="majorBidi" w:hAnsiTheme="majorBidi" w:cstheme="majorBidi"/>
        </w:rPr>
        <w:t xml:space="preserve"> </w:t>
      </w:r>
      <w:proofErr w:type="spellStart"/>
      <w:r w:rsidRPr="008B4124">
        <w:rPr>
          <w:rFonts w:asciiTheme="majorBidi" w:hAnsiTheme="majorBidi" w:cstheme="majorBidi"/>
        </w:rPr>
        <w:t>fibres</w:t>
      </w:r>
      <w:proofErr w:type="spellEnd"/>
      <w:r w:rsidRPr="008B4124">
        <w:rPr>
          <w:rFonts w:asciiTheme="majorBidi" w:hAnsiTheme="majorBidi" w:cstheme="majorBidi"/>
        </w:rPr>
        <w:t xml:space="preserve"> of all cardiac chambers; a bull's eye image of left ventricular global LS (LVGLS) that allows a regional assessment of LV damage according to coronary vascularization areas; and longitudinal strain (LS), which is the most often </w:t>
      </w:r>
      <w:proofErr w:type="spellStart"/>
      <w:r w:rsidRPr="008B4124">
        <w:rPr>
          <w:rFonts w:asciiTheme="majorBidi" w:hAnsiTheme="majorBidi" w:cstheme="majorBidi"/>
        </w:rPr>
        <w:t>utilised</w:t>
      </w:r>
      <w:proofErr w:type="spellEnd"/>
      <w:r w:rsidRPr="008B4124">
        <w:rPr>
          <w:rFonts w:asciiTheme="majorBidi" w:hAnsiTheme="majorBidi" w:cstheme="majorBidi"/>
        </w:rPr>
        <w:t xml:space="preserve"> STE measure </w:t>
      </w:r>
      <w:r w:rsidR="00AC4D36">
        <w:rPr>
          <w:rFonts w:asciiTheme="majorBidi" w:hAnsiTheme="majorBidi" w:cstheme="majorBidi"/>
        </w:rPr>
        <w:t>[</w:t>
      </w:r>
      <w:r w:rsidRPr="008B4124">
        <w:rPr>
          <w:rFonts w:asciiTheme="majorBidi" w:hAnsiTheme="majorBidi" w:cstheme="majorBidi"/>
        </w:rPr>
        <w:t>13</w:t>
      </w:r>
      <w:r w:rsidR="00AC4D36">
        <w:rPr>
          <w:rFonts w:asciiTheme="majorBidi" w:hAnsiTheme="majorBidi" w:cstheme="majorBidi"/>
        </w:rPr>
        <w:t>]</w:t>
      </w:r>
    </w:p>
    <w:p w14:paraId="4A5879D9" w14:textId="216C70F3" w:rsidR="006E57EA" w:rsidRPr="008B4124" w:rsidRDefault="006E57EA" w:rsidP="00AC4D36">
      <w:pPr>
        <w:pStyle w:val="BodyText"/>
        <w:widowControl/>
        <w:ind w:left="0" w:firstLine="360"/>
        <w:rPr>
          <w:rFonts w:asciiTheme="majorBidi" w:hAnsiTheme="majorBidi" w:cstheme="majorBidi"/>
        </w:rPr>
      </w:pPr>
      <w:r w:rsidRPr="008B4124">
        <w:rPr>
          <w:rFonts w:asciiTheme="majorBidi" w:hAnsiTheme="majorBidi" w:cstheme="majorBidi"/>
        </w:rPr>
        <w:t xml:space="preserve">When patients with atrial fibrillation (AF) were evaluated, the CHA2DS2-VASc (congestive heart failure, hypertension, age 75 years (doubled), diabetes mellitus, prior stroke or transient ischemic attack [TIA] (doubled), vascular disease, age 65-74 years, female gender) score was initially used </w:t>
      </w:r>
      <w:r w:rsidR="00AC4D36">
        <w:rPr>
          <w:rFonts w:asciiTheme="majorBidi" w:hAnsiTheme="majorBidi" w:cstheme="majorBidi"/>
        </w:rPr>
        <w:t>[</w:t>
      </w:r>
      <w:r w:rsidRPr="008B4124">
        <w:rPr>
          <w:rFonts w:asciiTheme="majorBidi" w:hAnsiTheme="majorBidi" w:cstheme="majorBidi"/>
        </w:rPr>
        <w:t>14</w:t>
      </w:r>
      <w:r w:rsidR="00AC4D36">
        <w:rPr>
          <w:rFonts w:asciiTheme="majorBidi" w:hAnsiTheme="majorBidi" w:cstheme="majorBidi"/>
        </w:rPr>
        <w:t>]</w:t>
      </w:r>
      <w:r w:rsidRPr="008B4124">
        <w:rPr>
          <w:rFonts w:asciiTheme="majorBidi" w:hAnsiTheme="majorBidi" w:cstheme="majorBidi"/>
        </w:rPr>
        <w:t xml:space="preserve">. Predicting </w:t>
      </w:r>
      <w:r w:rsidRPr="008B4124">
        <w:rPr>
          <w:rFonts w:asciiTheme="majorBidi" w:hAnsiTheme="majorBidi" w:cstheme="majorBidi"/>
        </w:rPr>
        <w:lastRenderedPageBreak/>
        <w:t xml:space="preserve">cardiovascular events in individuals with atrial fibrillation is easier than ever with the use of the CHA2DS2-VASc risk score, which has been validated and consistently repeatable </w:t>
      </w:r>
      <w:r w:rsidR="00AC4D36">
        <w:rPr>
          <w:rFonts w:asciiTheme="majorBidi" w:hAnsiTheme="majorBidi" w:cstheme="majorBidi"/>
        </w:rPr>
        <w:t>[</w:t>
      </w:r>
      <w:r w:rsidRPr="008B4124">
        <w:rPr>
          <w:rFonts w:asciiTheme="majorBidi" w:hAnsiTheme="majorBidi" w:cstheme="majorBidi"/>
        </w:rPr>
        <w:t>15</w:t>
      </w:r>
      <w:r w:rsidR="00AC4D36">
        <w:rPr>
          <w:rFonts w:asciiTheme="majorBidi" w:hAnsiTheme="majorBidi" w:cstheme="majorBidi"/>
        </w:rPr>
        <w:t>]</w:t>
      </w:r>
      <w:r w:rsidRPr="008B4124">
        <w:rPr>
          <w:rFonts w:asciiTheme="majorBidi" w:hAnsiTheme="majorBidi" w:cstheme="majorBidi"/>
        </w:rPr>
        <w:t xml:space="preserve">. The CHA2DS2-VASc score has recently been linked to poor clinical outcomes in patients with stable coronary artery disease (CAD) and acute myocardial infarction (MI), even when AF was not present (16, 17). </w:t>
      </w:r>
      <w:proofErr w:type="spellStart"/>
      <w:r w:rsidRPr="008B4124">
        <w:rPr>
          <w:rFonts w:asciiTheme="majorBidi" w:hAnsiTheme="majorBidi" w:cstheme="majorBidi"/>
        </w:rPr>
        <w:t>Preprocedural</w:t>
      </w:r>
      <w:proofErr w:type="spellEnd"/>
      <w:r w:rsidRPr="008B4124">
        <w:rPr>
          <w:rFonts w:asciiTheme="majorBidi" w:hAnsiTheme="majorBidi" w:cstheme="majorBidi"/>
        </w:rPr>
        <w:t xml:space="preserve"> CHA2DS2-VASc score and SYNTAX score association in predicting CAD severity in patients presenting with ACS is the purpose of this research.</w:t>
      </w:r>
    </w:p>
    <w:p w14:paraId="5835EB46" w14:textId="77777777" w:rsidR="00AC4D36" w:rsidRDefault="00AC4D36" w:rsidP="008B4124">
      <w:pPr>
        <w:pStyle w:val="BodyText"/>
        <w:widowControl/>
        <w:ind w:left="0"/>
        <w:rPr>
          <w:rFonts w:asciiTheme="majorBidi" w:hAnsiTheme="majorBidi" w:cstheme="majorBidi"/>
          <w:b/>
          <w:bCs/>
        </w:rPr>
      </w:pPr>
    </w:p>
    <w:p w14:paraId="3B164032" w14:textId="05D6BED2" w:rsidR="00AA0CAE" w:rsidRPr="008B4124" w:rsidRDefault="00D84EB3" w:rsidP="008B4124">
      <w:pPr>
        <w:pStyle w:val="BodyText"/>
        <w:widowControl/>
        <w:ind w:left="0"/>
        <w:rPr>
          <w:rFonts w:asciiTheme="majorBidi" w:hAnsiTheme="majorBidi" w:cstheme="majorBidi"/>
        </w:rPr>
      </w:pPr>
      <w:r w:rsidRPr="008B4124">
        <w:rPr>
          <w:rFonts w:asciiTheme="majorBidi" w:hAnsiTheme="majorBidi" w:cstheme="majorBidi"/>
          <w:b/>
          <w:bCs/>
        </w:rPr>
        <w:t>2.</w:t>
      </w:r>
      <w:r w:rsidR="00AC4D36">
        <w:rPr>
          <w:rFonts w:asciiTheme="majorBidi" w:hAnsiTheme="majorBidi" w:cstheme="majorBidi"/>
          <w:b/>
          <w:bCs/>
        </w:rPr>
        <w:t xml:space="preserve"> </w:t>
      </w:r>
      <w:r w:rsidR="009B0611" w:rsidRPr="008B4124">
        <w:rPr>
          <w:rFonts w:asciiTheme="majorBidi" w:hAnsiTheme="majorBidi" w:cstheme="majorBidi"/>
          <w:b/>
          <w:bCs/>
        </w:rPr>
        <w:t>Patients and methods</w:t>
      </w:r>
    </w:p>
    <w:p w14:paraId="0A21DA0E" w14:textId="31A09219" w:rsidR="00AA0CAE" w:rsidRPr="008B4124" w:rsidRDefault="009B0611" w:rsidP="008B4124">
      <w:pPr>
        <w:pStyle w:val="BodyText"/>
        <w:widowControl/>
        <w:ind w:left="0" w:firstLine="360"/>
        <w:rPr>
          <w:rFonts w:asciiTheme="majorBidi" w:hAnsiTheme="majorBidi" w:cstheme="majorBidi"/>
        </w:rPr>
      </w:pPr>
      <w:r w:rsidRPr="008B4124">
        <w:rPr>
          <w:rFonts w:asciiTheme="majorBidi" w:hAnsiTheme="majorBidi" w:cstheme="majorBidi"/>
        </w:rPr>
        <w:t>This was a prospective cohort research conducted for one year at the Department of Cardiology, Benha University from 1/2020 to   1/2021.</w:t>
      </w:r>
    </w:p>
    <w:p w14:paraId="4F304A9A" w14:textId="77777777" w:rsidR="00AA0CAE" w:rsidRPr="008B4124" w:rsidRDefault="009B0611" w:rsidP="008B4124">
      <w:pPr>
        <w:pStyle w:val="BodyText"/>
        <w:widowControl/>
        <w:ind w:left="0" w:firstLine="360"/>
        <w:rPr>
          <w:rFonts w:asciiTheme="majorBidi" w:hAnsiTheme="majorBidi" w:cstheme="majorBidi"/>
        </w:rPr>
      </w:pPr>
      <w:r w:rsidRPr="008B4124">
        <w:rPr>
          <w:rFonts w:asciiTheme="majorBidi" w:hAnsiTheme="majorBidi" w:cstheme="majorBidi"/>
        </w:rPr>
        <w:t>All subjects received informed consent. A total of 577 ACS patients have been chosen via purposeful sampling based on the specified.</w:t>
      </w:r>
    </w:p>
    <w:p w14:paraId="67BFB709" w14:textId="60F73764" w:rsidR="00AA0CAE" w:rsidRPr="008B4124" w:rsidRDefault="009B0611" w:rsidP="008B4124">
      <w:pPr>
        <w:pStyle w:val="BodyText"/>
        <w:widowControl/>
        <w:ind w:left="0" w:firstLine="360"/>
        <w:rPr>
          <w:rFonts w:asciiTheme="majorBidi" w:hAnsiTheme="majorBidi" w:cstheme="majorBidi"/>
        </w:rPr>
      </w:pPr>
      <w:r w:rsidRPr="008B4124">
        <w:rPr>
          <w:rFonts w:asciiTheme="majorBidi" w:hAnsiTheme="majorBidi" w:cstheme="majorBidi"/>
        </w:rPr>
        <w:t xml:space="preserve">For each patient, a detailed medical history, thorough clinical examination, standard 12-lead electrocardiogram, and conventional echocardiographic examination were performed. Left ventricular ejection fraction was measured by echocardiography using a biplane modiﬁed Simpson’s method with the GE Vivid 7 (GE Healthcare, Milwaukee, Wisconsin). Blood samples were obtained Fasting blood glucose, total cholesterol, low-density lipoprotein cholesterol (LDL-C), high-density lipoprotein cholesterol, triglycerides, and renal function tests </w:t>
      </w:r>
      <w:r w:rsidRPr="008B4124">
        <w:rPr>
          <w:rFonts w:asciiTheme="majorBidi" w:hAnsiTheme="majorBidi" w:cstheme="majorBidi"/>
          <w:rtl/>
          <w:lang w:bidi="ar-DZ"/>
        </w:rPr>
        <w:t xml:space="preserve">were </w:t>
      </w:r>
      <w:r w:rsidRPr="008B4124">
        <w:rPr>
          <w:rFonts w:asciiTheme="majorBidi" w:hAnsiTheme="majorBidi" w:cstheme="majorBidi"/>
          <w:lang w:bidi="ar-DZ"/>
        </w:rPr>
        <w:t>performed</w:t>
      </w:r>
      <w:r w:rsidRPr="008B4124">
        <w:rPr>
          <w:rFonts w:asciiTheme="majorBidi" w:hAnsiTheme="majorBidi" w:cstheme="majorBidi"/>
          <w:rtl/>
          <w:lang w:bidi="ar-DZ"/>
        </w:rPr>
        <w:t xml:space="preserve"> </w:t>
      </w:r>
      <w:r w:rsidR="00E306D1" w:rsidRPr="008B4124">
        <w:rPr>
          <w:rFonts w:asciiTheme="majorBidi" w:hAnsiTheme="majorBidi" w:cstheme="majorBidi"/>
          <w:lang w:bidi="ar-EG"/>
        </w:rPr>
        <w:t>.</w:t>
      </w:r>
      <w:r w:rsidR="00E306D1" w:rsidRPr="008B4124">
        <w:rPr>
          <w:rFonts w:asciiTheme="majorBidi" w:hAnsiTheme="majorBidi" w:cstheme="majorBidi"/>
          <w:rtl/>
          <w:lang w:bidi="ar-EG"/>
        </w:rPr>
        <w:t>ز</w:t>
      </w:r>
      <w:r w:rsidR="00E306D1" w:rsidRPr="008B4124">
        <w:rPr>
          <w:rFonts w:asciiTheme="majorBidi" w:hAnsiTheme="majorBidi" w:cstheme="majorBidi"/>
        </w:rPr>
        <w:t xml:space="preserve"> </w:t>
      </w:r>
    </w:p>
    <w:p w14:paraId="40DDD5BF" w14:textId="2AB84D32" w:rsidR="00AA0CAE" w:rsidRPr="008B4124" w:rsidRDefault="009B0611" w:rsidP="008B4124">
      <w:pPr>
        <w:pStyle w:val="BodyText"/>
        <w:widowControl/>
        <w:ind w:left="0" w:firstLine="360"/>
        <w:rPr>
          <w:rFonts w:asciiTheme="majorBidi" w:hAnsiTheme="majorBidi" w:cstheme="majorBidi"/>
        </w:rPr>
      </w:pPr>
      <w:r w:rsidRPr="008B4124">
        <w:rPr>
          <w:rFonts w:asciiTheme="majorBidi" w:hAnsiTheme="majorBidi" w:cstheme="majorBidi"/>
        </w:rPr>
        <w:t xml:space="preserve">Clinical and demographic characteristics including age, gender, diabetes mellitus (DM), smoking, family history of premature CAD, chronic heart failure, previous ischemic stroke or TIA, and peripheral artery disease (PAD) were obtained </w:t>
      </w:r>
    </w:p>
    <w:p w14:paraId="124EC351" w14:textId="25883AF1" w:rsidR="00AA0CAE" w:rsidRPr="008B4124" w:rsidRDefault="009B0611" w:rsidP="008B4124">
      <w:pPr>
        <w:pStyle w:val="BodyText"/>
        <w:widowControl/>
        <w:ind w:left="0" w:firstLine="360"/>
        <w:rPr>
          <w:rFonts w:asciiTheme="majorBidi" w:hAnsiTheme="majorBidi" w:cstheme="majorBidi"/>
        </w:rPr>
      </w:pPr>
      <w:r w:rsidRPr="008B4124">
        <w:rPr>
          <w:rFonts w:asciiTheme="majorBidi" w:hAnsiTheme="majorBidi" w:cstheme="majorBidi"/>
        </w:rPr>
        <w:t xml:space="preserve">CAG was performed and Signiﬁcant CAD was diagnosed if there was ≥50% diameter stenosis in at least ≥1 major epicardial coronary artery. The severity of CAD was determined by the number of signiﬁcantly diseased coronary arteries. Multivessel coronary disease was deﬁned as the presence of 50% luminal diameter </w:t>
      </w:r>
      <w:r w:rsidRPr="008B4124">
        <w:rPr>
          <w:rFonts w:asciiTheme="majorBidi" w:hAnsiTheme="majorBidi" w:cstheme="majorBidi"/>
        </w:rPr>
        <w:lastRenderedPageBreak/>
        <w:t xml:space="preserve">stenosis involving at least 2 major epicardial coronary arteries. Left main coronary artery narrowing of 50% was considered as 2-vessel disease. Syntax score was calculated visually from CAG. By combining anatomic and clinical prognostic variables, the SYNTAX score II creates accurate mortality predictions to guide the choice between PCI and CABG for patients with multivessel coronary disease. The CHA2DS2-VASc score was calculated by assigning one point each for the presence </w:t>
      </w:r>
      <w:proofErr w:type="gramStart"/>
      <w:r w:rsidRPr="008B4124">
        <w:rPr>
          <w:rFonts w:asciiTheme="majorBidi" w:hAnsiTheme="majorBidi" w:cstheme="majorBidi"/>
        </w:rPr>
        <w:t xml:space="preserve">of </w:t>
      </w:r>
      <w:r w:rsidR="00957B04" w:rsidRPr="008B4124">
        <w:rPr>
          <w:rFonts w:asciiTheme="majorBidi" w:hAnsiTheme="majorBidi" w:cstheme="majorBidi"/>
        </w:rPr>
        <w:t xml:space="preserve"> </w:t>
      </w:r>
      <w:r w:rsidRPr="008B4124">
        <w:rPr>
          <w:rFonts w:asciiTheme="majorBidi" w:hAnsiTheme="majorBidi" w:cstheme="majorBidi"/>
        </w:rPr>
        <w:t>chronic</w:t>
      </w:r>
      <w:proofErr w:type="gramEnd"/>
      <w:r w:rsidRPr="008B4124">
        <w:rPr>
          <w:rFonts w:asciiTheme="majorBidi" w:hAnsiTheme="majorBidi" w:cstheme="majorBidi"/>
        </w:rPr>
        <w:t xml:space="preserve"> heart failure, HTN, DM, vascular disease, age 65– 74 years, female gender (as a sex category) and by assigning two points for history of stroke or TIA and age ≥75 years  The</w:t>
      </w:r>
      <w:r w:rsidRPr="008B4124">
        <w:rPr>
          <w:rFonts w:asciiTheme="majorBidi" w:hAnsiTheme="majorBidi" w:cstheme="majorBidi"/>
          <w:spacing w:val="1"/>
        </w:rPr>
        <w:t xml:space="preserve"> </w:t>
      </w:r>
      <w:r w:rsidRPr="008B4124">
        <w:rPr>
          <w:rFonts w:asciiTheme="majorBidi" w:hAnsiTheme="majorBidi" w:cstheme="majorBidi"/>
        </w:rPr>
        <w:t>score</w:t>
      </w:r>
      <w:r w:rsidRPr="008B4124">
        <w:rPr>
          <w:rFonts w:asciiTheme="majorBidi" w:hAnsiTheme="majorBidi" w:cstheme="majorBidi"/>
          <w:spacing w:val="1"/>
        </w:rPr>
        <w:t xml:space="preserve"> </w:t>
      </w:r>
      <w:r w:rsidRPr="008B4124">
        <w:rPr>
          <w:rFonts w:asciiTheme="majorBidi" w:hAnsiTheme="majorBidi" w:cstheme="majorBidi"/>
        </w:rPr>
        <w:t>of</w:t>
      </w:r>
      <w:r w:rsidRPr="008B4124">
        <w:rPr>
          <w:rFonts w:asciiTheme="majorBidi" w:hAnsiTheme="majorBidi" w:cstheme="majorBidi"/>
          <w:spacing w:val="1"/>
        </w:rPr>
        <w:t xml:space="preserve"> </w:t>
      </w:r>
      <w:r w:rsidRPr="008B4124">
        <w:rPr>
          <w:rFonts w:asciiTheme="majorBidi" w:hAnsiTheme="majorBidi" w:cstheme="majorBidi"/>
        </w:rPr>
        <w:t>CHA2DS2-VASc</w:t>
      </w:r>
      <w:r w:rsidRPr="008B4124">
        <w:rPr>
          <w:rFonts w:asciiTheme="majorBidi" w:hAnsiTheme="majorBidi" w:cstheme="majorBidi"/>
          <w:spacing w:val="1"/>
        </w:rPr>
        <w:t xml:space="preserve"> </w:t>
      </w:r>
      <w:r w:rsidRPr="008B4124">
        <w:rPr>
          <w:rFonts w:asciiTheme="majorBidi" w:hAnsiTheme="majorBidi" w:cstheme="majorBidi"/>
        </w:rPr>
        <w:t>was</w:t>
      </w:r>
      <w:r w:rsidRPr="008B4124">
        <w:rPr>
          <w:rFonts w:asciiTheme="majorBidi" w:hAnsiTheme="majorBidi" w:cstheme="majorBidi"/>
          <w:spacing w:val="1"/>
        </w:rPr>
        <w:t xml:space="preserve"> </w:t>
      </w:r>
      <w:r w:rsidRPr="008B4124">
        <w:rPr>
          <w:rFonts w:asciiTheme="majorBidi" w:hAnsiTheme="majorBidi" w:cstheme="majorBidi"/>
        </w:rPr>
        <w:t>then</w:t>
      </w:r>
      <w:r w:rsidRPr="008B4124">
        <w:rPr>
          <w:rFonts w:asciiTheme="majorBidi" w:hAnsiTheme="majorBidi" w:cstheme="majorBidi"/>
          <w:spacing w:val="1"/>
        </w:rPr>
        <w:t xml:space="preserve"> </w:t>
      </w:r>
      <w:r w:rsidRPr="008B4124">
        <w:rPr>
          <w:rFonts w:asciiTheme="majorBidi" w:hAnsiTheme="majorBidi" w:cstheme="majorBidi"/>
        </w:rPr>
        <w:t>computed</w:t>
      </w:r>
      <w:r w:rsidRPr="008B4124">
        <w:rPr>
          <w:rFonts w:asciiTheme="majorBidi" w:hAnsiTheme="majorBidi" w:cstheme="majorBidi"/>
          <w:spacing w:val="1"/>
        </w:rPr>
        <w:t xml:space="preserve"> </w:t>
      </w:r>
      <w:r w:rsidRPr="008B4124">
        <w:rPr>
          <w:rFonts w:asciiTheme="majorBidi" w:hAnsiTheme="majorBidi" w:cstheme="majorBidi"/>
        </w:rPr>
        <w:t>and</w:t>
      </w:r>
      <w:r w:rsidRPr="008B4124">
        <w:rPr>
          <w:rFonts w:asciiTheme="majorBidi" w:hAnsiTheme="majorBidi" w:cstheme="majorBidi"/>
          <w:spacing w:val="1"/>
        </w:rPr>
        <w:t xml:space="preserve"> </w:t>
      </w:r>
      <w:r w:rsidRPr="008B4124">
        <w:rPr>
          <w:rFonts w:asciiTheme="majorBidi" w:hAnsiTheme="majorBidi" w:cstheme="majorBidi"/>
        </w:rPr>
        <w:t>the</w:t>
      </w:r>
      <w:r w:rsidRPr="008B4124">
        <w:rPr>
          <w:rFonts w:asciiTheme="majorBidi" w:hAnsiTheme="majorBidi" w:cstheme="majorBidi"/>
          <w:spacing w:val="1"/>
        </w:rPr>
        <w:t xml:space="preserve"> </w:t>
      </w:r>
      <w:r w:rsidRPr="008B4124">
        <w:rPr>
          <w:rFonts w:asciiTheme="majorBidi" w:hAnsiTheme="majorBidi" w:cstheme="majorBidi"/>
        </w:rPr>
        <w:t>research</w:t>
      </w:r>
      <w:r w:rsidRPr="008B4124">
        <w:rPr>
          <w:rFonts w:asciiTheme="majorBidi" w:hAnsiTheme="majorBidi" w:cstheme="majorBidi"/>
          <w:spacing w:val="1"/>
        </w:rPr>
        <w:t xml:space="preserve"> </w:t>
      </w:r>
      <w:r w:rsidRPr="008B4124">
        <w:rPr>
          <w:rFonts w:asciiTheme="majorBidi" w:hAnsiTheme="majorBidi" w:cstheme="majorBidi"/>
        </w:rPr>
        <w:lastRenderedPageBreak/>
        <w:t>participants</w:t>
      </w:r>
      <w:r w:rsidRPr="008B4124">
        <w:rPr>
          <w:rFonts w:asciiTheme="majorBidi" w:hAnsiTheme="majorBidi" w:cstheme="majorBidi"/>
          <w:spacing w:val="-47"/>
        </w:rPr>
        <w:t xml:space="preserve"> </w:t>
      </w:r>
      <w:r w:rsidRPr="008B4124">
        <w:rPr>
          <w:rFonts w:asciiTheme="majorBidi" w:hAnsiTheme="majorBidi" w:cstheme="majorBidi"/>
        </w:rPr>
        <w:t>split into three groups.</w:t>
      </w:r>
      <w:r w:rsidRPr="008B4124">
        <w:rPr>
          <w:rFonts w:asciiTheme="majorBidi" w:hAnsiTheme="majorBidi" w:cstheme="majorBidi"/>
          <w:spacing w:val="50"/>
        </w:rPr>
        <w:t xml:space="preserve"> </w:t>
      </w:r>
      <w:proofErr w:type="gramStart"/>
      <w:r w:rsidRPr="008B4124">
        <w:rPr>
          <w:rFonts w:asciiTheme="majorBidi" w:hAnsiTheme="majorBidi" w:cstheme="majorBidi"/>
        </w:rPr>
        <w:t xml:space="preserve">CHA2DS2-VASc score (0 -1, 2 – 4 or </w:t>
      </w:r>
      <w:r w:rsidRPr="008B4124">
        <w:rPr>
          <w:rFonts w:asciiTheme="majorBidi" w:hAnsiTheme="majorBidi" w:cstheme="majorBidi"/>
          <w:b/>
          <w:bCs/>
        </w:rPr>
        <w:t>≥</w:t>
      </w:r>
      <w:r w:rsidRPr="008B4124">
        <w:rPr>
          <w:rFonts w:asciiTheme="majorBidi" w:hAnsiTheme="majorBidi" w:cstheme="majorBidi"/>
        </w:rPr>
        <w:t> 5).</w:t>
      </w:r>
      <w:proofErr w:type="gramEnd"/>
      <w:r w:rsidRPr="008B4124">
        <w:rPr>
          <w:rFonts w:asciiTheme="majorBidi" w:hAnsiTheme="majorBidi" w:cstheme="majorBidi"/>
        </w:rPr>
        <w:t xml:space="preserve"> </w:t>
      </w:r>
    </w:p>
    <w:p w14:paraId="278FC3D5" w14:textId="77777777" w:rsidR="00AC4D36" w:rsidRDefault="00AC4D36" w:rsidP="008B4124">
      <w:pPr>
        <w:pStyle w:val="Heading1"/>
        <w:widowControl/>
        <w:tabs>
          <w:tab w:val="left" w:pos="842"/>
        </w:tabs>
        <w:spacing w:before="0"/>
        <w:ind w:left="0"/>
        <w:jc w:val="both"/>
        <w:rPr>
          <w:rFonts w:asciiTheme="majorBidi" w:hAnsiTheme="majorBidi" w:cstheme="majorBidi"/>
        </w:rPr>
      </w:pPr>
    </w:p>
    <w:p w14:paraId="264E6283" w14:textId="51588F54" w:rsidR="00AA0CAE" w:rsidRPr="008B4124" w:rsidRDefault="00D84EB3" w:rsidP="008B4124">
      <w:pPr>
        <w:pStyle w:val="Heading1"/>
        <w:widowControl/>
        <w:tabs>
          <w:tab w:val="left" w:pos="842"/>
        </w:tabs>
        <w:spacing w:before="0"/>
        <w:ind w:left="0"/>
        <w:jc w:val="both"/>
        <w:rPr>
          <w:rFonts w:asciiTheme="majorBidi" w:hAnsiTheme="majorBidi" w:cstheme="majorBidi"/>
        </w:rPr>
      </w:pPr>
      <w:r w:rsidRPr="008B4124">
        <w:rPr>
          <w:rFonts w:asciiTheme="majorBidi" w:hAnsiTheme="majorBidi" w:cstheme="majorBidi"/>
        </w:rPr>
        <w:t>3.</w:t>
      </w:r>
      <w:r w:rsidR="00AC4D36">
        <w:rPr>
          <w:rFonts w:asciiTheme="majorBidi" w:hAnsiTheme="majorBidi" w:cstheme="majorBidi"/>
        </w:rPr>
        <w:t xml:space="preserve"> </w:t>
      </w:r>
      <w:r w:rsidR="009B0611" w:rsidRPr="008B4124">
        <w:rPr>
          <w:rFonts w:asciiTheme="majorBidi" w:hAnsiTheme="majorBidi" w:cstheme="majorBidi"/>
        </w:rPr>
        <w:t>Results</w:t>
      </w:r>
    </w:p>
    <w:p w14:paraId="62B0C3FC" w14:textId="77777777" w:rsidR="00F06967" w:rsidRPr="008B4124" w:rsidRDefault="009B0611" w:rsidP="00AC4D36">
      <w:pPr>
        <w:pStyle w:val="BodyText"/>
        <w:widowControl/>
        <w:ind w:left="0" w:firstLine="360"/>
        <w:rPr>
          <w:rFonts w:asciiTheme="majorBidi" w:hAnsiTheme="majorBidi" w:cstheme="majorBidi"/>
        </w:rPr>
        <w:sectPr w:rsidR="00F06967" w:rsidRPr="008B4124" w:rsidSect="008B4124">
          <w:type w:val="continuous"/>
          <w:pgSz w:w="11910" w:h="16840" w:code="9"/>
          <w:pgMar w:top="1440" w:right="1110" w:bottom="1440" w:left="1080" w:header="706" w:footer="706" w:gutter="0"/>
          <w:cols w:num="2" w:space="706"/>
        </w:sectPr>
      </w:pPr>
      <w:r w:rsidRPr="008B4124">
        <w:rPr>
          <w:rFonts w:asciiTheme="majorBidi" w:hAnsiTheme="majorBidi" w:cstheme="majorBidi"/>
        </w:rPr>
        <w:t xml:space="preserve"> A total of 577 patients were studied, including 376 (65.2%) male and 201 (34.8%) female. Patients were classified into three tertiles according to their SS: tertile 1 had an SS &lt;</w:t>
      </w:r>
      <w:proofErr w:type="gramStart"/>
      <w:r w:rsidRPr="008B4124">
        <w:rPr>
          <w:rFonts w:asciiTheme="majorBidi" w:hAnsiTheme="majorBidi" w:cstheme="majorBidi"/>
        </w:rPr>
        <w:t>22 ;</w:t>
      </w:r>
      <w:proofErr w:type="gramEnd"/>
      <w:r w:rsidRPr="008B4124">
        <w:rPr>
          <w:rFonts w:asciiTheme="majorBidi" w:hAnsiTheme="majorBidi" w:cstheme="majorBidi"/>
        </w:rPr>
        <w:t xml:space="preserve"> tertile 2 had an SS of 22–32; and tertile 3 had an SS of &gt;32. The baseline, clinical, and laboratory characteristics of the study population stratified according to SS tertile were </w:t>
      </w:r>
      <w:proofErr w:type="gramStart"/>
      <w:r w:rsidRPr="008B4124">
        <w:rPr>
          <w:rFonts w:asciiTheme="majorBidi" w:hAnsiTheme="majorBidi" w:cstheme="majorBidi"/>
        </w:rPr>
        <w:t>presented .</w:t>
      </w:r>
      <w:proofErr w:type="gramEnd"/>
      <w:r w:rsidRPr="008B4124">
        <w:rPr>
          <w:rFonts w:asciiTheme="majorBidi" w:hAnsiTheme="majorBidi" w:cstheme="majorBidi"/>
        </w:rPr>
        <w:t xml:space="preserve"> </w:t>
      </w:r>
      <w:proofErr w:type="gramStart"/>
      <w:r w:rsidRPr="008B4124">
        <w:rPr>
          <w:rFonts w:asciiTheme="majorBidi" w:hAnsiTheme="majorBidi" w:cstheme="majorBidi"/>
        </w:rPr>
        <w:t>Patients with higher SYNTAX score was</w:t>
      </w:r>
      <w:proofErr w:type="gramEnd"/>
      <w:r w:rsidRPr="008B4124">
        <w:rPr>
          <w:rFonts w:asciiTheme="majorBidi" w:hAnsiTheme="majorBidi" w:cstheme="majorBidi"/>
        </w:rPr>
        <w:t xml:space="preserve"> significantly older than patients with intermediate and low SYNATX score with p value 0.0001.</w:t>
      </w:r>
    </w:p>
    <w:p w14:paraId="2826132F" w14:textId="7C2641A1" w:rsidR="00AA0CAE" w:rsidRPr="008B4124" w:rsidRDefault="00AA0CAE" w:rsidP="008B4124">
      <w:pPr>
        <w:pStyle w:val="BodyText"/>
        <w:widowControl/>
        <w:ind w:left="0"/>
        <w:rPr>
          <w:rFonts w:asciiTheme="majorBidi" w:hAnsiTheme="majorBidi" w:cstheme="majorBidi"/>
        </w:rPr>
      </w:pPr>
    </w:p>
    <w:p w14:paraId="0868A088" w14:textId="77777777" w:rsidR="00F06967" w:rsidRPr="008B4124" w:rsidRDefault="00F06967" w:rsidP="008B4124">
      <w:pPr>
        <w:keepNext/>
        <w:jc w:val="center"/>
        <w:rPr>
          <w:rFonts w:asciiTheme="majorBidi" w:hAnsiTheme="majorBidi" w:cstheme="majorBidi"/>
          <w:sz w:val="20"/>
          <w:szCs w:val="20"/>
        </w:rPr>
      </w:pPr>
      <w:r w:rsidRPr="00AC4D36">
        <w:rPr>
          <w:rFonts w:asciiTheme="majorBidi" w:hAnsiTheme="majorBidi" w:cstheme="majorBidi"/>
          <w:b/>
          <w:bCs/>
          <w:noProof/>
          <w:sz w:val="20"/>
          <w:szCs w:val="20"/>
        </w:rPr>
        <w:drawing>
          <wp:inline distT="0" distB="0" distL="0" distR="0" wp14:anchorId="18004D4F" wp14:editId="4F8EE3BB">
            <wp:extent cx="3910084" cy="2402006"/>
            <wp:effectExtent l="0" t="0" r="14605" b="177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E338A1" w14:textId="34F51A27" w:rsidR="00F06967" w:rsidRPr="00AC4D36" w:rsidRDefault="00F06967" w:rsidP="00AC4D36">
      <w:pPr>
        <w:spacing w:before="120" w:after="120"/>
        <w:jc w:val="center"/>
        <w:rPr>
          <w:rFonts w:asciiTheme="majorBidi" w:hAnsiTheme="majorBidi" w:cstheme="majorBidi"/>
          <w:sz w:val="20"/>
          <w:szCs w:val="20"/>
        </w:rPr>
      </w:pPr>
      <w:proofErr w:type="gramStart"/>
      <w:r w:rsidRPr="008B4124">
        <w:rPr>
          <w:rFonts w:asciiTheme="majorBidi" w:hAnsiTheme="majorBidi" w:cstheme="majorBidi"/>
          <w:b/>
          <w:bCs/>
          <w:sz w:val="20"/>
          <w:szCs w:val="20"/>
        </w:rPr>
        <w:t>Fig</w:t>
      </w:r>
      <w:r w:rsidR="00AC4D36">
        <w:rPr>
          <w:rFonts w:asciiTheme="majorBidi" w:hAnsiTheme="majorBidi" w:cstheme="majorBidi"/>
          <w:b/>
          <w:bCs/>
          <w:sz w:val="20"/>
          <w:szCs w:val="20"/>
        </w:rPr>
        <w:t>.</w:t>
      </w:r>
      <w:proofErr w:type="gramEnd"/>
      <w:r w:rsidRPr="008B4124">
        <w:rPr>
          <w:rFonts w:asciiTheme="majorBidi" w:hAnsiTheme="majorBidi" w:cstheme="majorBidi"/>
          <w:b/>
          <w:bCs/>
          <w:sz w:val="20"/>
          <w:szCs w:val="20"/>
        </w:rPr>
        <w:t xml:space="preserve"> </w:t>
      </w:r>
      <w:r w:rsidR="00AC4D36">
        <w:rPr>
          <w:rFonts w:asciiTheme="majorBidi" w:hAnsiTheme="majorBidi" w:cstheme="majorBidi"/>
          <w:b/>
          <w:bCs/>
          <w:sz w:val="20"/>
          <w:szCs w:val="20"/>
        </w:rPr>
        <w:t>(</w:t>
      </w:r>
      <w:r w:rsidRPr="008B4124">
        <w:rPr>
          <w:rFonts w:asciiTheme="majorBidi" w:hAnsiTheme="majorBidi" w:cstheme="majorBidi"/>
          <w:b/>
          <w:bCs/>
          <w:sz w:val="20"/>
          <w:szCs w:val="20"/>
        </w:rPr>
        <w:t>1</w:t>
      </w:r>
      <w:r w:rsidR="00AC4D36">
        <w:rPr>
          <w:rFonts w:asciiTheme="majorBidi" w:hAnsiTheme="majorBidi" w:cstheme="majorBidi"/>
          <w:b/>
          <w:bCs/>
          <w:sz w:val="20"/>
          <w:szCs w:val="20"/>
        </w:rPr>
        <w:t>)</w:t>
      </w:r>
      <w:r w:rsidRPr="008B4124">
        <w:rPr>
          <w:rFonts w:asciiTheme="majorBidi" w:hAnsiTheme="majorBidi" w:cstheme="majorBidi"/>
          <w:b/>
          <w:bCs/>
          <w:sz w:val="20"/>
          <w:szCs w:val="20"/>
        </w:rPr>
        <w:t xml:space="preserve"> </w:t>
      </w:r>
      <w:r w:rsidRPr="00AC4D36">
        <w:rPr>
          <w:rFonts w:asciiTheme="majorBidi" w:hAnsiTheme="majorBidi" w:cstheme="majorBidi"/>
          <w:sz w:val="20"/>
          <w:szCs w:val="20"/>
        </w:rPr>
        <w:t>Bar chart showing risk stratification of the included patients.</w:t>
      </w:r>
    </w:p>
    <w:p w14:paraId="4780183D" w14:textId="1762E3D4" w:rsidR="00F06967" w:rsidRDefault="00F06967" w:rsidP="00AC4D36">
      <w:pPr>
        <w:spacing w:before="120" w:after="120"/>
        <w:rPr>
          <w:rFonts w:asciiTheme="majorBidi" w:hAnsiTheme="majorBidi" w:cstheme="majorBidi"/>
          <w:sz w:val="20"/>
          <w:szCs w:val="20"/>
        </w:rPr>
      </w:pPr>
      <w:r w:rsidRPr="008B4124">
        <w:rPr>
          <w:rFonts w:asciiTheme="majorBidi" w:hAnsiTheme="majorBidi" w:cstheme="majorBidi"/>
          <w:b/>
          <w:bCs/>
          <w:sz w:val="20"/>
          <w:szCs w:val="20"/>
        </w:rPr>
        <w:t xml:space="preserve">Table </w:t>
      </w:r>
      <w:r w:rsidR="00AC4D36">
        <w:rPr>
          <w:rFonts w:asciiTheme="majorBidi" w:hAnsiTheme="majorBidi" w:cstheme="majorBidi"/>
          <w:b/>
          <w:bCs/>
          <w:sz w:val="20"/>
          <w:szCs w:val="20"/>
        </w:rPr>
        <w:t>(</w:t>
      </w:r>
      <w:r w:rsidRPr="008B4124">
        <w:rPr>
          <w:rFonts w:asciiTheme="majorBidi" w:hAnsiTheme="majorBidi" w:cstheme="majorBidi"/>
          <w:b/>
          <w:bCs/>
          <w:sz w:val="20"/>
          <w:szCs w:val="20"/>
        </w:rPr>
        <w:fldChar w:fldCharType="begin"/>
      </w:r>
      <w:r w:rsidRPr="008B4124">
        <w:rPr>
          <w:rFonts w:asciiTheme="majorBidi" w:hAnsiTheme="majorBidi" w:cstheme="majorBidi"/>
          <w:b/>
          <w:bCs/>
          <w:sz w:val="20"/>
          <w:szCs w:val="20"/>
        </w:rPr>
        <w:instrText xml:space="preserve"> SEQ Table \* ARABIC </w:instrText>
      </w:r>
      <w:r w:rsidRPr="008B4124">
        <w:rPr>
          <w:rFonts w:asciiTheme="majorBidi" w:hAnsiTheme="majorBidi" w:cstheme="majorBidi"/>
          <w:b/>
          <w:bCs/>
          <w:sz w:val="20"/>
          <w:szCs w:val="20"/>
        </w:rPr>
        <w:fldChar w:fldCharType="separate"/>
      </w:r>
      <w:r w:rsidR="0044492D">
        <w:rPr>
          <w:rFonts w:asciiTheme="majorBidi" w:hAnsiTheme="majorBidi" w:cstheme="majorBidi"/>
          <w:b/>
          <w:bCs/>
          <w:noProof/>
          <w:sz w:val="20"/>
          <w:szCs w:val="20"/>
        </w:rPr>
        <w:t>1</w:t>
      </w:r>
      <w:r w:rsidRPr="008B4124">
        <w:rPr>
          <w:rFonts w:asciiTheme="majorBidi" w:hAnsiTheme="majorBidi" w:cstheme="majorBidi"/>
          <w:b/>
          <w:bCs/>
          <w:sz w:val="20"/>
          <w:szCs w:val="20"/>
        </w:rPr>
        <w:fldChar w:fldCharType="end"/>
      </w:r>
      <w:r w:rsidR="00AC4D36">
        <w:rPr>
          <w:rFonts w:asciiTheme="majorBidi" w:hAnsiTheme="majorBidi" w:cstheme="majorBidi"/>
          <w:b/>
          <w:bCs/>
          <w:sz w:val="20"/>
          <w:szCs w:val="20"/>
        </w:rPr>
        <w:t>)</w:t>
      </w:r>
      <w:r w:rsidRPr="008B4124">
        <w:rPr>
          <w:rFonts w:asciiTheme="majorBidi" w:hAnsiTheme="majorBidi" w:cstheme="majorBidi"/>
          <w:b/>
          <w:bCs/>
          <w:sz w:val="20"/>
          <w:szCs w:val="20"/>
        </w:rPr>
        <w:t xml:space="preserve"> </w:t>
      </w:r>
      <w:r w:rsidRPr="008B4124">
        <w:rPr>
          <w:rFonts w:asciiTheme="majorBidi" w:hAnsiTheme="majorBidi" w:cstheme="majorBidi"/>
          <w:sz w:val="20"/>
          <w:szCs w:val="20"/>
        </w:rPr>
        <w:t xml:space="preserve">Baseline clinical characteristics of the study groups according to SYNTAX score </w:t>
      </w:r>
      <w:proofErr w:type="spellStart"/>
      <w:r w:rsidRPr="008B4124">
        <w:rPr>
          <w:rFonts w:asciiTheme="majorBidi" w:hAnsiTheme="majorBidi" w:cstheme="majorBidi"/>
          <w:sz w:val="20"/>
          <w:szCs w:val="20"/>
        </w:rPr>
        <w:t>tertiles</w:t>
      </w:r>
      <w:proofErr w:type="spellEnd"/>
      <w:r w:rsidRPr="008B4124">
        <w:rPr>
          <w:rFonts w:asciiTheme="majorBidi" w:hAnsiTheme="majorBidi" w:cstheme="majorBidi"/>
          <w:sz w:val="20"/>
          <w:szCs w:val="20"/>
        </w:rPr>
        <w:t>.</w:t>
      </w:r>
    </w:p>
    <w:tbl>
      <w:tblPr>
        <w:tblW w:w="9726" w:type="dxa"/>
        <w:tblBorders>
          <w:top w:val="single" w:sz="4" w:space="0" w:color="auto"/>
          <w:bottom w:val="single" w:sz="4" w:space="0" w:color="auto"/>
        </w:tblBorders>
        <w:tblLook w:val="04A0" w:firstRow="1" w:lastRow="0" w:firstColumn="1" w:lastColumn="0" w:noHBand="0" w:noVBand="1"/>
      </w:tblPr>
      <w:tblGrid>
        <w:gridCol w:w="926"/>
        <w:gridCol w:w="581"/>
        <w:gridCol w:w="1398"/>
        <w:gridCol w:w="1011"/>
        <w:gridCol w:w="1437"/>
        <w:gridCol w:w="1011"/>
        <w:gridCol w:w="1398"/>
        <w:gridCol w:w="866"/>
        <w:gridCol w:w="1098"/>
      </w:tblGrid>
      <w:tr w:rsidR="00F06967" w:rsidRPr="008B4124" w14:paraId="5FC45A9D" w14:textId="77777777" w:rsidTr="00AC4D36">
        <w:trPr>
          <w:trHeight w:val="53"/>
        </w:trPr>
        <w:tc>
          <w:tcPr>
            <w:tcW w:w="0" w:type="auto"/>
            <w:gridSpan w:val="2"/>
            <w:vMerge w:val="restart"/>
            <w:tcBorders>
              <w:top w:val="single" w:sz="4" w:space="0" w:color="auto"/>
              <w:bottom w:val="nil"/>
            </w:tcBorders>
          </w:tcPr>
          <w:p w14:paraId="182EB660" w14:textId="77777777" w:rsidR="00F06967" w:rsidRPr="008B4124" w:rsidRDefault="00F06967" w:rsidP="008B4124">
            <w:pPr>
              <w:adjustRightInd w:val="0"/>
              <w:rPr>
                <w:rFonts w:asciiTheme="majorBidi" w:hAnsiTheme="majorBidi" w:cstheme="majorBidi"/>
                <w:sz w:val="20"/>
                <w:szCs w:val="20"/>
              </w:rPr>
            </w:pPr>
          </w:p>
        </w:tc>
        <w:tc>
          <w:tcPr>
            <w:tcW w:w="7121" w:type="dxa"/>
            <w:gridSpan w:val="6"/>
            <w:tcBorders>
              <w:top w:val="single" w:sz="4" w:space="0" w:color="auto"/>
              <w:bottom w:val="nil"/>
            </w:tcBorders>
          </w:tcPr>
          <w:p w14:paraId="53174F06" w14:textId="77777777" w:rsidR="00F06967" w:rsidRPr="008B4124" w:rsidRDefault="00F06967" w:rsidP="008B4124">
            <w:pPr>
              <w:adjustRightInd w:val="0"/>
              <w:ind w:left="60" w:right="60"/>
              <w:jc w:val="center"/>
              <w:rPr>
                <w:rFonts w:asciiTheme="majorBidi" w:hAnsiTheme="majorBidi" w:cstheme="majorBidi"/>
                <w:b/>
                <w:bCs/>
                <w:color w:val="000000"/>
                <w:sz w:val="20"/>
                <w:szCs w:val="20"/>
              </w:rPr>
            </w:pPr>
            <w:r w:rsidRPr="008B4124">
              <w:rPr>
                <w:rFonts w:asciiTheme="majorBidi" w:hAnsiTheme="majorBidi" w:cstheme="majorBidi"/>
                <w:b/>
                <w:bCs/>
                <w:color w:val="000000"/>
                <w:sz w:val="20"/>
                <w:szCs w:val="20"/>
              </w:rPr>
              <w:t>Syntax grade</w:t>
            </w:r>
          </w:p>
        </w:tc>
        <w:tc>
          <w:tcPr>
            <w:tcW w:w="1098" w:type="dxa"/>
            <w:vMerge w:val="restart"/>
            <w:tcBorders>
              <w:top w:val="single" w:sz="4" w:space="0" w:color="auto"/>
              <w:bottom w:val="single" w:sz="4" w:space="0" w:color="auto"/>
            </w:tcBorders>
          </w:tcPr>
          <w:p w14:paraId="403F8454" w14:textId="77777777" w:rsidR="00F06967" w:rsidRPr="008B4124" w:rsidRDefault="00F06967" w:rsidP="008B4124">
            <w:pPr>
              <w:adjustRightInd w:val="0"/>
              <w:ind w:left="60" w:right="60"/>
              <w:jc w:val="center"/>
              <w:rPr>
                <w:rFonts w:asciiTheme="majorBidi" w:hAnsiTheme="majorBidi" w:cstheme="majorBidi"/>
                <w:b/>
                <w:bCs/>
                <w:color w:val="000000"/>
                <w:sz w:val="20"/>
                <w:szCs w:val="20"/>
              </w:rPr>
            </w:pPr>
            <w:r w:rsidRPr="008B4124">
              <w:rPr>
                <w:rFonts w:asciiTheme="majorBidi" w:hAnsiTheme="majorBidi" w:cstheme="majorBidi"/>
                <w:b/>
                <w:bCs/>
                <w:color w:val="000000"/>
                <w:sz w:val="20"/>
                <w:szCs w:val="20"/>
              </w:rPr>
              <w:t xml:space="preserve">P value </w:t>
            </w:r>
          </w:p>
        </w:tc>
      </w:tr>
      <w:tr w:rsidR="00F06967" w:rsidRPr="008B4124" w14:paraId="3E4B10ED" w14:textId="77777777" w:rsidTr="00AC4D36">
        <w:trPr>
          <w:trHeight w:val="145"/>
        </w:trPr>
        <w:tc>
          <w:tcPr>
            <w:tcW w:w="0" w:type="auto"/>
            <w:gridSpan w:val="2"/>
            <w:vMerge/>
            <w:tcBorders>
              <w:top w:val="nil"/>
              <w:bottom w:val="nil"/>
            </w:tcBorders>
          </w:tcPr>
          <w:p w14:paraId="0AD5198C" w14:textId="77777777" w:rsidR="00F06967" w:rsidRPr="008B4124" w:rsidRDefault="00F06967" w:rsidP="008B4124">
            <w:pPr>
              <w:adjustRightInd w:val="0"/>
              <w:rPr>
                <w:rFonts w:asciiTheme="majorBidi" w:hAnsiTheme="majorBidi" w:cstheme="majorBidi"/>
                <w:color w:val="000000"/>
                <w:sz w:val="20"/>
                <w:szCs w:val="20"/>
              </w:rPr>
            </w:pPr>
          </w:p>
        </w:tc>
        <w:tc>
          <w:tcPr>
            <w:tcW w:w="0" w:type="auto"/>
            <w:gridSpan w:val="2"/>
            <w:tcBorders>
              <w:top w:val="nil"/>
              <w:bottom w:val="nil"/>
            </w:tcBorders>
          </w:tcPr>
          <w:p w14:paraId="2C41C18A" w14:textId="77777777" w:rsidR="00F06967" w:rsidRPr="008B4124" w:rsidRDefault="00F06967" w:rsidP="008B4124">
            <w:pPr>
              <w:adjustRightInd w:val="0"/>
              <w:ind w:left="60" w:right="60"/>
              <w:jc w:val="center"/>
              <w:rPr>
                <w:rFonts w:asciiTheme="majorBidi" w:hAnsiTheme="majorBidi" w:cstheme="majorBidi"/>
                <w:b/>
                <w:bCs/>
                <w:color w:val="000000"/>
                <w:sz w:val="20"/>
                <w:szCs w:val="20"/>
              </w:rPr>
            </w:pPr>
            <w:r w:rsidRPr="008B4124">
              <w:rPr>
                <w:rFonts w:asciiTheme="majorBidi" w:hAnsiTheme="majorBidi" w:cstheme="majorBidi"/>
                <w:b/>
                <w:bCs/>
                <w:color w:val="000000"/>
                <w:sz w:val="20"/>
                <w:szCs w:val="20"/>
              </w:rPr>
              <w:t>≤22</w:t>
            </w:r>
          </w:p>
        </w:tc>
        <w:tc>
          <w:tcPr>
            <w:tcW w:w="0" w:type="auto"/>
            <w:gridSpan w:val="2"/>
            <w:tcBorders>
              <w:top w:val="nil"/>
              <w:bottom w:val="nil"/>
            </w:tcBorders>
          </w:tcPr>
          <w:p w14:paraId="71AA8F04" w14:textId="77777777" w:rsidR="00F06967" w:rsidRPr="008B4124" w:rsidRDefault="00F06967" w:rsidP="008B4124">
            <w:pPr>
              <w:adjustRightInd w:val="0"/>
              <w:ind w:left="60" w:right="60"/>
              <w:jc w:val="center"/>
              <w:rPr>
                <w:rFonts w:asciiTheme="majorBidi" w:hAnsiTheme="majorBidi" w:cstheme="majorBidi"/>
                <w:b/>
                <w:bCs/>
                <w:color w:val="000000"/>
                <w:sz w:val="20"/>
                <w:szCs w:val="20"/>
              </w:rPr>
            </w:pPr>
            <w:r w:rsidRPr="008B4124">
              <w:rPr>
                <w:rFonts w:asciiTheme="majorBidi" w:hAnsiTheme="majorBidi" w:cstheme="majorBidi"/>
                <w:b/>
                <w:bCs/>
                <w:color w:val="000000"/>
                <w:sz w:val="20"/>
                <w:szCs w:val="20"/>
              </w:rPr>
              <w:t>23-32</w:t>
            </w:r>
          </w:p>
        </w:tc>
        <w:tc>
          <w:tcPr>
            <w:tcW w:w="2264" w:type="dxa"/>
            <w:gridSpan w:val="2"/>
            <w:tcBorders>
              <w:top w:val="nil"/>
              <w:bottom w:val="nil"/>
            </w:tcBorders>
          </w:tcPr>
          <w:p w14:paraId="373D7C06" w14:textId="77777777" w:rsidR="00F06967" w:rsidRPr="008B4124" w:rsidRDefault="00F06967" w:rsidP="008B4124">
            <w:pPr>
              <w:adjustRightInd w:val="0"/>
              <w:ind w:left="60" w:right="60"/>
              <w:jc w:val="center"/>
              <w:rPr>
                <w:rFonts w:asciiTheme="majorBidi" w:hAnsiTheme="majorBidi" w:cstheme="majorBidi"/>
                <w:b/>
                <w:bCs/>
                <w:color w:val="000000"/>
                <w:sz w:val="20"/>
                <w:szCs w:val="20"/>
              </w:rPr>
            </w:pPr>
            <w:r w:rsidRPr="008B4124">
              <w:rPr>
                <w:rFonts w:asciiTheme="majorBidi" w:hAnsiTheme="majorBidi" w:cstheme="majorBidi"/>
                <w:b/>
                <w:bCs/>
                <w:color w:val="000000"/>
                <w:sz w:val="20"/>
                <w:szCs w:val="20"/>
              </w:rPr>
              <w:t>≥33</w:t>
            </w:r>
          </w:p>
        </w:tc>
        <w:tc>
          <w:tcPr>
            <w:tcW w:w="1098" w:type="dxa"/>
            <w:vMerge/>
            <w:tcBorders>
              <w:top w:val="nil"/>
              <w:bottom w:val="single" w:sz="4" w:space="0" w:color="auto"/>
            </w:tcBorders>
          </w:tcPr>
          <w:p w14:paraId="4CCBB77D" w14:textId="77777777" w:rsidR="00F06967" w:rsidRPr="008B4124" w:rsidRDefault="00F06967" w:rsidP="008B4124">
            <w:pPr>
              <w:adjustRightInd w:val="0"/>
              <w:ind w:left="60" w:right="60"/>
              <w:jc w:val="center"/>
              <w:rPr>
                <w:rFonts w:asciiTheme="majorBidi" w:hAnsiTheme="majorBidi" w:cstheme="majorBidi"/>
                <w:b/>
                <w:bCs/>
                <w:color w:val="000000"/>
                <w:sz w:val="20"/>
                <w:szCs w:val="20"/>
              </w:rPr>
            </w:pPr>
          </w:p>
        </w:tc>
      </w:tr>
      <w:tr w:rsidR="00F06967" w:rsidRPr="008B4124" w14:paraId="0FE57435" w14:textId="77777777" w:rsidTr="00AC4D36">
        <w:trPr>
          <w:trHeight w:val="145"/>
        </w:trPr>
        <w:tc>
          <w:tcPr>
            <w:tcW w:w="0" w:type="auto"/>
            <w:gridSpan w:val="2"/>
            <w:vMerge/>
            <w:tcBorders>
              <w:top w:val="nil"/>
              <w:bottom w:val="single" w:sz="4" w:space="0" w:color="auto"/>
            </w:tcBorders>
          </w:tcPr>
          <w:p w14:paraId="60D517C2" w14:textId="77777777" w:rsidR="00F06967" w:rsidRPr="008B4124" w:rsidRDefault="00F06967" w:rsidP="008B4124">
            <w:pPr>
              <w:adjustRightInd w:val="0"/>
              <w:rPr>
                <w:rFonts w:asciiTheme="majorBidi" w:hAnsiTheme="majorBidi" w:cstheme="majorBidi"/>
                <w:color w:val="000000"/>
                <w:sz w:val="20"/>
                <w:szCs w:val="20"/>
              </w:rPr>
            </w:pPr>
          </w:p>
        </w:tc>
        <w:tc>
          <w:tcPr>
            <w:tcW w:w="0" w:type="auto"/>
            <w:tcBorders>
              <w:top w:val="nil"/>
              <w:bottom w:val="single" w:sz="4" w:space="0" w:color="auto"/>
            </w:tcBorders>
          </w:tcPr>
          <w:p w14:paraId="69FD4823"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N/ Mean ± SD</w:t>
            </w:r>
          </w:p>
        </w:tc>
        <w:tc>
          <w:tcPr>
            <w:tcW w:w="0" w:type="auto"/>
            <w:tcBorders>
              <w:top w:val="nil"/>
              <w:bottom w:val="single" w:sz="4" w:space="0" w:color="auto"/>
            </w:tcBorders>
          </w:tcPr>
          <w:p w14:paraId="34C55EAD"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 range</w:t>
            </w:r>
          </w:p>
        </w:tc>
        <w:tc>
          <w:tcPr>
            <w:tcW w:w="0" w:type="auto"/>
            <w:tcBorders>
              <w:top w:val="nil"/>
              <w:bottom w:val="single" w:sz="4" w:space="0" w:color="auto"/>
            </w:tcBorders>
          </w:tcPr>
          <w:p w14:paraId="12CDE546"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N/ Mean ± SD</w:t>
            </w:r>
          </w:p>
        </w:tc>
        <w:tc>
          <w:tcPr>
            <w:tcW w:w="0" w:type="auto"/>
            <w:tcBorders>
              <w:top w:val="nil"/>
              <w:bottom w:val="single" w:sz="4" w:space="0" w:color="auto"/>
            </w:tcBorders>
          </w:tcPr>
          <w:p w14:paraId="7FE15A69"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 range</w:t>
            </w:r>
          </w:p>
        </w:tc>
        <w:tc>
          <w:tcPr>
            <w:tcW w:w="0" w:type="auto"/>
            <w:tcBorders>
              <w:top w:val="nil"/>
              <w:bottom w:val="single" w:sz="4" w:space="0" w:color="auto"/>
            </w:tcBorders>
          </w:tcPr>
          <w:p w14:paraId="03565FE4"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N/ Mean ± SD</w:t>
            </w:r>
          </w:p>
        </w:tc>
        <w:tc>
          <w:tcPr>
            <w:tcW w:w="866" w:type="dxa"/>
            <w:tcBorders>
              <w:top w:val="nil"/>
              <w:bottom w:val="single" w:sz="4" w:space="0" w:color="auto"/>
            </w:tcBorders>
          </w:tcPr>
          <w:p w14:paraId="23A956F7"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 range</w:t>
            </w:r>
          </w:p>
        </w:tc>
        <w:tc>
          <w:tcPr>
            <w:tcW w:w="1098" w:type="dxa"/>
            <w:vMerge/>
            <w:tcBorders>
              <w:top w:val="nil"/>
              <w:bottom w:val="single" w:sz="4" w:space="0" w:color="auto"/>
            </w:tcBorders>
          </w:tcPr>
          <w:p w14:paraId="327A10DB" w14:textId="77777777" w:rsidR="00F06967" w:rsidRPr="008B4124" w:rsidRDefault="00F06967" w:rsidP="008B4124">
            <w:pPr>
              <w:adjustRightInd w:val="0"/>
              <w:ind w:left="60" w:right="60"/>
              <w:jc w:val="center"/>
              <w:rPr>
                <w:rFonts w:asciiTheme="majorBidi" w:hAnsiTheme="majorBidi" w:cstheme="majorBidi"/>
                <w:color w:val="000000"/>
                <w:sz w:val="20"/>
                <w:szCs w:val="20"/>
              </w:rPr>
            </w:pPr>
          </w:p>
        </w:tc>
      </w:tr>
      <w:tr w:rsidR="00F06967" w:rsidRPr="008B4124" w14:paraId="13607AE8" w14:textId="77777777" w:rsidTr="00AC4D36">
        <w:trPr>
          <w:trHeight w:val="53"/>
        </w:trPr>
        <w:tc>
          <w:tcPr>
            <w:tcW w:w="0" w:type="auto"/>
            <w:gridSpan w:val="2"/>
            <w:tcBorders>
              <w:top w:val="single" w:sz="4" w:space="0" w:color="auto"/>
            </w:tcBorders>
          </w:tcPr>
          <w:p w14:paraId="70A7D624"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Age (years)</w:t>
            </w:r>
          </w:p>
        </w:tc>
        <w:tc>
          <w:tcPr>
            <w:tcW w:w="0" w:type="auto"/>
            <w:tcBorders>
              <w:top w:val="single" w:sz="4" w:space="0" w:color="auto"/>
            </w:tcBorders>
          </w:tcPr>
          <w:p w14:paraId="71CF0874"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56.8 ±11</w:t>
            </w:r>
          </w:p>
        </w:tc>
        <w:tc>
          <w:tcPr>
            <w:tcW w:w="0" w:type="auto"/>
            <w:tcBorders>
              <w:top w:val="single" w:sz="4" w:space="0" w:color="auto"/>
            </w:tcBorders>
          </w:tcPr>
          <w:p w14:paraId="2E844134"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25-95</w:t>
            </w:r>
          </w:p>
        </w:tc>
        <w:tc>
          <w:tcPr>
            <w:tcW w:w="0" w:type="auto"/>
            <w:tcBorders>
              <w:top w:val="single" w:sz="4" w:space="0" w:color="auto"/>
            </w:tcBorders>
          </w:tcPr>
          <w:p w14:paraId="22C6337F"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62.2±1.6</w:t>
            </w:r>
          </w:p>
        </w:tc>
        <w:tc>
          <w:tcPr>
            <w:tcW w:w="0" w:type="auto"/>
            <w:tcBorders>
              <w:top w:val="single" w:sz="4" w:space="0" w:color="auto"/>
            </w:tcBorders>
          </w:tcPr>
          <w:p w14:paraId="28B24D2E"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35-97</w:t>
            </w:r>
          </w:p>
        </w:tc>
        <w:tc>
          <w:tcPr>
            <w:tcW w:w="0" w:type="auto"/>
            <w:tcBorders>
              <w:top w:val="single" w:sz="4" w:space="0" w:color="auto"/>
            </w:tcBorders>
          </w:tcPr>
          <w:p w14:paraId="5B47A079"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67.7 ±10.6</w:t>
            </w:r>
          </w:p>
        </w:tc>
        <w:tc>
          <w:tcPr>
            <w:tcW w:w="866" w:type="dxa"/>
            <w:tcBorders>
              <w:top w:val="single" w:sz="4" w:space="0" w:color="auto"/>
            </w:tcBorders>
          </w:tcPr>
          <w:p w14:paraId="65E415BA"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50-90</w:t>
            </w:r>
          </w:p>
        </w:tc>
        <w:tc>
          <w:tcPr>
            <w:tcW w:w="1098" w:type="dxa"/>
            <w:tcBorders>
              <w:top w:val="single" w:sz="4" w:space="0" w:color="auto"/>
            </w:tcBorders>
          </w:tcPr>
          <w:p w14:paraId="7A225D41"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0.0001</w:t>
            </w:r>
          </w:p>
        </w:tc>
      </w:tr>
      <w:tr w:rsidR="00F06967" w:rsidRPr="008B4124" w14:paraId="4CE1B4A5" w14:textId="77777777" w:rsidTr="00AC4D36">
        <w:trPr>
          <w:trHeight w:val="234"/>
        </w:trPr>
        <w:tc>
          <w:tcPr>
            <w:tcW w:w="0" w:type="auto"/>
            <w:vMerge w:val="restart"/>
          </w:tcPr>
          <w:p w14:paraId="7757C628"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Gender</w:t>
            </w:r>
          </w:p>
        </w:tc>
        <w:tc>
          <w:tcPr>
            <w:tcW w:w="0" w:type="auto"/>
          </w:tcPr>
          <w:p w14:paraId="7D59EF5A"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F</w:t>
            </w:r>
          </w:p>
        </w:tc>
        <w:tc>
          <w:tcPr>
            <w:tcW w:w="0" w:type="auto"/>
          </w:tcPr>
          <w:p w14:paraId="7E405570"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145</w:t>
            </w:r>
          </w:p>
        </w:tc>
        <w:tc>
          <w:tcPr>
            <w:tcW w:w="0" w:type="auto"/>
          </w:tcPr>
          <w:p w14:paraId="051AB2BC"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72.1%</w:t>
            </w:r>
          </w:p>
        </w:tc>
        <w:tc>
          <w:tcPr>
            <w:tcW w:w="0" w:type="auto"/>
          </w:tcPr>
          <w:p w14:paraId="6C479250"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38</w:t>
            </w:r>
          </w:p>
        </w:tc>
        <w:tc>
          <w:tcPr>
            <w:tcW w:w="0" w:type="auto"/>
          </w:tcPr>
          <w:p w14:paraId="10C4F3DD"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18.9%</w:t>
            </w:r>
          </w:p>
        </w:tc>
        <w:tc>
          <w:tcPr>
            <w:tcW w:w="0" w:type="auto"/>
          </w:tcPr>
          <w:p w14:paraId="6ECC0EDE"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18</w:t>
            </w:r>
          </w:p>
        </w:tc>
        <w:tc>
          <w:tcPr>
            <w:tcW w:w="866" w:type="dxa"/>
          </w:tcPr>
          <w:p w14:paraId="25635396"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9.0%</w:t>
            </w:r>
          </w:p>
        </w:tc>
        <w:tc>
          <w:tcPr>
            <w:tcW w:w="1098" w:type="dxa"/>
            <w:vMerge w:val="restart"/>
          </w:tcPr>
          <w:p w14:paraId="6E8A5B69" w14:textId="77777777" w:rsidR="00F06967" w:rsidRPr="008B4124" w:rsidRDefault="00F06967" w:rsidP="008B4124">
            <w:pPr>
              <w:adjustRightInd w:val="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0.07</w:t>
            </w:r>
          </w:p>
        </w:tc>
      </w:tr>
      <w:tr w:rsidR="00F06967" w:rsidRPr="008B4124" w14:paraId="2F56D48E" w14:textId="77777777" w:rsidTr="00AC4D36">
        <w:trPr>
          <w:trHeight w:val="145"/>
        </w:trPr>
        <w:tc>
          <w:tcPr>
            <w:tcW w:w="0" w:type="auto"/>
            <w:vMerge/>
          </w:tcPr>
          <w:p w14:paraId="09DBEE31" w14:textId="77777777" w:rsidR="00F06967" w:rsidRPr="008B4124" w:rsidRDefault="00F06967" w:rsidP="008B4124">
            <w:pPr>
              <w:adjustRightInd w:val="0"/>
              <w:rPr>
                <w:rFonts w:asciiTheme="majorBidi" w:hAnsiTheme="majorBidi" w:cstheme="majorBidi"/>
                <w:color w:val="000000"/>
                <w:sz w:val="20"/>
                <w:szCs w:val="20"/>
              </w:rPr>
            </w:pPr>
          </w:p>
        </w:tc>
        <w:tc>
          <w:tcPr>
            <w:tcW w:w="0" w:type="auto"/>
          </w:tcPr>
          <w:p w14:paraId="554D95E1"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M</w:t>
            </w:r>
          </w:p>
        </w:tc>
        <w:tc>
          <w:tcPr>
            <w:tcW w:w="0" w:type="auto"/>
          </w:tcPr>
          <w:p w14:paraId="1C7BCEE7"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302</w:t>
            </w:r>
          </w:p>
        </w:tc>
        <w:tc>
          <w:tcPr>
            <w:tcW w:w="0" w:type="auto"/>
          </w:tcPr>
          <w:p w14:paraId="54BD388D"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80.3%</w:t>
            </w:r>
          </w:p>
        </w:tc>
        <w:tc>
          <w:tcPr>
            <w:tcW w:w="0" w:type="auto"/>
          </w:tcPr>
          <w:p w14:paraId="7A2F61BF"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52</w:t>
            </w:r>
          </w:p>
        </w:tc>
        <w:tc>
          <w:tcPr>
            <w:tcW w:w="0" w:type="auto"/>
          </w:tcPr>
          <w:p w14:paraId="06C5C524"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13.8%</w:t>
            </w:r>
          </w:p>
        </w:tc>
        <w:tc>
          <w:tcPr>
            <w:tcW w:w="0" w:type="auto"/>
          </w:tcPr>
          <w:p w14:paraId="6C28A701"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22</w:t>
            </w:r>
          </w:p>
        </w:tc>
        <w:tc>
          <w:tcPr>
            <w:tcW w:w="866" w:type="dxa"/>
          </w:tcPr>
          <w:p w14:paraId="6E9BC2A7"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5.9%</w:t>
            </w:r>
          </w:p>
        </w:tc>
        <w:tc>
          <w:tcPr>
            <w:tcW w:w="1098" w:type="dxa"/>
            <w:vMerge/>
          </w:tcPr>
          <w:p w14:paraId="68877315" w14:textId="77777777" w:rsidR="00F06967" w:rsidRPr="008B4124" w:rsidRDefault="00F06967" w:rsidP="008B4124">
            <w:pPr>
              <w:adjustRightInd w:val="0"/>
              <w:jc w:val="center"/>
              <w:rPr>
                <w:rFonts w:asciiTheme="majorBidi" w:hAnsiTheme="majorBidi" w:cstheme="majorBidi"/>
                <w:color w:val="000000"/>
                <w:sz w:val="20"/>
                <w:szCs w:val="20"/>
              </w:rPr>
            </w:pPr>
          </w:p>
        </w:tc>
      </w:tr>
      <w:tr w:rsidR="00F06967" w:rsidRPr="008B4124" w14:paraId="0026B14F" w14:textId="77777777" w:rsidTr="00AC4D36">
        <w:trPr>
          <w:trHeight w:val="53"/>
        </w:trPr>
        <w:tc>
          <w:tcPr>
            <w:tcW w:w="0" w:type="auto"/>
            <w:vMerge w:val="restart"/>
          </w:tcPr>
          <w:p w14:paraId="312522F4"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CHF</w:t>
            </w:r>
          </w:p>
        </w:tc>
        <w:tc>
          <w:tcPr>
            <w:tcW w:w="0" w:type="auto"/>
          </w:tcPr>
          <w:p w14:paraId="78BABC89"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No</w:t>
            </w:r>
          </w:p>
        </w:tc>
        <w:tc>
          <w:tcPr>
            <w:tcW w:w="0" w:type="auto"/>
          </w:tcPr>
          <w:p w14:paraId="2EDFC211"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424</w:t>
            </w:r>
          </w:p>
        </w:tc>
        <w:tc>
          <w:tcPr>
            <w:tcW w:w="0" w:type="auto"/>
          </w:tcPr>
          <w:p w14:paraId="5924C809"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94.9%</w:t>
            </w:r>
          </w:p>
        </w:tc>
        <w:tc>
          <w:tcPr>
            <w:tcW w:w="0" w:type="auto"/>
          </w:tcPr>
          <w:p w14:paraId="731AF482"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60</w:t>
            </w:r>
          </w:p>
        </w:tc>
        <w:tc>
          <w:tcPr>
            <w:tcW w:w="0" w:type="auto"/>
          </w:tcPr>
          <w:p w14:paraId="6C230700"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66.7%</w:t>
            </w:r>
          </w:p>
        </w:tc>
        <w:tc>
          <w:tcPr>
            <w:tcW w:w="0" w:type="auto"/>
          </w:tcPr>
          <w:p w14:paraId="16D07ADF"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28</w:t>
            </w:r>
          </w:p>
        </w:tc>
        <w:tc>
          <w:tcPr>
            <w:tcW w:w="866" w:type="dxa"/>
          </w:tcPr>
          <w:p w14:paraId="570677D4"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70.0%</w:t>
            </w:r>
          </w:p>
        </w:tc>
        <w:tc>
          <w:tcPr>
            <w:tcW w:w="1098" w:type="dxa"/>
            <w:vMerge w:val="restart"/>
          </w:tcPr>
          <w:p w14:paraId="2E2FF069" w14:textId="77777777" w:rsidR="00F06967" w:rsidRPr="008B4124" w:rsidRDefault="00F06967" w:rsidP="008B4124">
            <w:pPr>
              <w:adjustRightInd w:val="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0.0001</w:t>
            </w:r>
          </w:p>
        </w:tc>
      </w:tr>
      <w:tr w:rsidR="00F06967" w:rsidRPr="008B4124" w14:paraId="747E6EBC" w14:textId="77777777" w:rsidTr="00AC4D36">
        <w:trPr>
          <w:trHeight w:val="145"/>
        </w:trPr>
        <w:tc>
          <w:tcPr>
            <w:tcW w:w="0" w:type="auto"/>
            <w:vMerge/>
          </w:tcPr>
          <w:p w14:paraId="676CC9E9" w14:textId="77777777" w:rsidR="00F06967" w:rsidRPr="008B4124" w:rsidRDefault="00F06967" w:rsidP="008B4124">
            <w:pPr>
              <w:adjustRightInd w:val="0"/>
              <w:rPr>
                <w:rFonts w:asciiTheme="majorBidi" w:hAnsiTheme="majorBidi" w:cstheme="majorBidi"/>
                <w:color w:val="000000"/>
                <w:sz w:val="20"/>
                <w:szCs w:val="20"/>
              </w:rPr>
            </w:pPr>
          </w:p>
        </w:tc>
        <w:tc>
          <w:tcPr>
            <w:tcW w:w="0" w:type="auto"/>
          </w:tcPr>
          <w:p w14:paraId="538AE1E9"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I</w:t>
            </w:r>
          </w:p>
        </w:tc>
        <w:tc>
          <w:tcPr>
            <w:tcW w:w="0" w:type="auto"/>
          </w:tcPr>
          <w:p w14:paraId="12098FF3"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0</w:t>
            </w:r>
          </w:p>
        </w:tc>
        <w:tc>
          <w:tcPr>
            <w:tcW w:w="0" w:type="auto"/>
          </w:tcPr>
          <w:p w14:paraId="13E40AC3"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0.0%</w:t>
            </w:r>
          </w:p>
        </w:tc>
        <w:tc>
          <w:tcPr>
            <w:tcW w:w="0" w:type="auto"/>
          </w:tcPr>
          <w:p w14:paraId="2E7D9822"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w:t>
            </w:r>
          </w:p>
        </w:tc>
        <w:tc>
          <w:tcPr>
            <w:tcW w:w="0" w:type="auto"/>
          </w:tcPr>
          <w:p w14:paraId="23421A28"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1.1%</w:t>
            </w:r>
          </w:p>
        </w:tc>
        <w:tc>
          <w:tcPr>
            <w:tcW w:w="0" w:type="auto"/>
          </w:tcPr>
          <w:p w14:paraId="39F24726"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0</w:t>
            </w:r>
          </w:p>
        </w:tc>
        <w:tc>
          <w:tcPr>
            <w:tcW w:w="866" w:type="dxa"/>
          </w:tcPr>
          <w:p w14:paraId="1EA055BF"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0.0%</w:t>
            </w:r>
          </w:p>
        </w:tc>
        <w:tc>
          <w:tcPr>
            <w:tcW w:w="1098" w:type="dxa"/>
            <w:vMerge/>
          </w:tcPr>
          <w:p w14:paraId="08064B2B" w14:textId="77777777" w:rsidR="00F06967" w:rsidRPr="008B4124" w:rsidRDefault="00F06967" w:rsidP="008B4124">
            <w:pPr>
              <w:adjustRightInd w:val="0"/>
              <w:jc w:val="center"/>
              <w:rPr>
                <w:rFonts w:asciiTheme="majorBidi" w:hAnsiTheme="majorBidi" w:cstheme="majorBidi"/>
                <w:color w:val="000000"/>
                <w:sz w:val="20"/>
                <w:szCs w:val="20"/>
              </w:rPr>
            </w:pPr>
          </w:p>
        </w:tc>
      </w:tr>
      <w:tr w:rsidR="00F06967" w:rsidRPr="008B4124" w14:paraId="29D172F7" w14:textId="77777777" w:rsidTr="00AC4D36">
        <w:trPr>
          <w:trHeight w:val="145"/>
        </w:trPr>
        <w:tc>
          <w:tcPr>
            <w:tcW w:w="0" w:type="auto"/>
            <w:vMerge/>
          </w:tcPr>
          <w:p w14:paraId="316B1264" w14:textId="77777777" w:rsidR="00F06967" w:rsidRPr="008B4124" w:rsidRDefault="00F06967" w:rsidP="008B4124">
            <w:pPr>
              <w:adjustRightInd w:val="0"/>
              <w:rPr>
                <w:rFonts w:asciiTheme="majorBidi" w:hAnsiTheme="majorBidi" w:cstheme="majorBidi"/>
                <w:color w:val="000000"/>
                <w:sz w:val="20"/>
                <w:szCs w:val="20"/>
              </w:rPr>
            </w:pPr>
          </w:p>
        </w:tc>
        <w:tc>
          <w:tcPr>
            <w:tcW w:w="0" w:type="auto"/>
          </w:tcPr>
          <w:p w14:paraId="73AD55F9"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II</w:t>
            </w:r>
          </w:p>
        </w:tc>
        <w:tc>
          <w:tcPr>
            <w:tcW w:w="0" w:type="auto"/>
          </w:tcPr>
          <w:p w14:paraId="5BC834E1"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17</w:t>
            </w:r>
          </w:p>
        </w:tc>
        <w:tc>
          <w:tcPr>
            <w:tcW w:w="0" w:type="auto"/>
          </w:tcPr>
          <w:p w14:paraId="2AA18C82"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3.8%</w:t>
            </w:r>
          </w:p>
        </w:tc>
        <w:tc>
          <w:tcPr>
            <w:tcW w:w="0" w:type="auto"/>
          </w:tcPr>
          <w:p w14:paraId="129818DE"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17</w:t>
            </w:r>
          </w:p>
        </w:tc>
        <w:tc>
          <w:tcPr>
            <w:tcW w:w="0" w:type="auto"/>
          </w:tcPr>
          <w:p w14:paraId="6FFEB49E"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18.9%</w:t>
            </w:r>
          </w:p>
        </w:tc>
        <w:tc>
          <w:tcPr>
            <w:tcW w:w="0" w:type="auto"/>
          </w:tcPr>
          <w:p w14:paraId="1964058A"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8</w:t>
            </w:r>
          </w:p>
        </w:tc>
        <w:tc>
          <w:tcPr>
            <w:tcW w:w="866" w:type="dxa"/>
          </w:tcPr>
          <w:p w14:paraId="2D354771"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20.0%</w:t>
            </w:r>
          </w:p>
        </w:tc>
        <w:tc>
          <w:tcPr>
            <w:tcW w:w="1098" w:type="dxa"/>
            <w:vMerge/>
          </w:tcPr>
          <w:p w14:paraId="70027863" w14:textId="77777777" w:rsidR="00F06967" w:rsidRPr="008B4124" w:rsidRDefault="00F06967" w:rsidP="008B4124">
            <w:pPr>
              <w:adjustRightInd w:val="0"/>
              <w:jc w:val="center"/>
              <w:rPr>
                <w:rFonts w:asciiTheme="majorBidi" w:hAnsiTheme="majorBidi" w:cstheme="majorBidi"/>
                <w:color w:val="000000"/>
                <w:sz w:val="20"/>
                <w:szCs w:val="20"/>
              </w:rPr>
            </w:pPr>
          </w:p>
        </w:tc>
      </w:tr>
      <w:tr w:rsidR="00F06967" w:rsidRPr="008B4124" w14:paraId="549CC23B" w14:textId="77777777" w:rsidTr="00AC4D36">
        <w:trPr>
          <w:trHeight w:val="145"/>
        </w:trPr>
        <w:tc>
          <w:tcPr>
            <w:tcW w:w="0" w:type="auto"/>
            <w:vMerge/>
          </w:tcPr>
          <w:p w14:paraId="63343117" w14:textId="77777777" w:rsidR="00F06967" w:rsidRPr="008B4124" w:rsidRDefault="00F06967" w:rsidP="008B4124">
            <w:pPr>
              <w:adjustRightInd w:val="0"/>
              <w:rPr>
                <w:rFonts w:asciiTheme="majorBidi" w:hAnsiTheme="majorBidi" w:cstheme="majorBidi"/>
                <w:color w:val="000000"/>
                <w:sz w:val="20"/>
                <w:szCs w:val="20"/>
              </w:rPr>
            </w:pPr>
          </w:p>
        </w:tc>
        <w:tc>
          <w:tcPr>
            <w:tcW w:w="0" w:type="auto"/>
          </w:tcPr>
          <w:p w14:paraId="644C2482"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III</w:t>
            </w:r>
          </w:p>
        </w:tc>
        <w:tc>
          <w:tcPr>
            <w:tcW w:w="0" w:type="auto"/>
          </w:tcPr>
          <w:p w14:paraId="5821714E"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6</w:t>
            </w:r>
          </w:p>
        </w:tc>
        <w:tc>
          <w:tcPr>
            <w:tcW w:w="0" w:type="auto"/>
          </w:tcPr>
          <w:p w14:paraId="1604B4A0"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1.3%</w:t>
            </w:r>
          </w:p>
        </w:tc>
        <w:tc>
          <w:tcPr>
            <w:tcW w:w="0" w:type="auto"/>
          </w:tcPr>
          <w:p w14:paraId="4D921832"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12</w:t>
            </w:r>
          </w:p>
        </w:tc>
        <w:tc>
          <w:tcPr>
            <w:tcW w:w="0" w:type="auto"/>
          </w:tcPr>
          <w:p w14:paraId="78B7073C"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13.3%</w:t>
            </w:r>
          </w:p>
        </w:tc>
        <w:tc>
          <w:tcPr>
            <w:tcW w:w="0" w:type="auto"/>
          </w:tcPr>
          <w:p w14:paraId="209D772B"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4</w:t>
            </w:r>
          </w:p>
        </w:tc>
        <w:tc>
          <w:tcPr>
            <w:tcW w:w="866" w:type="dxa"/>
          </w:tcPr>
          <w:p w14:paraId="53F17587"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10.0%</w:t>
            </w:r>
          </w:p>
        </w:tc>
        <w:tc>
          <w:tcPr>
            <w:tcW w:w="1098" w:type="dxa"/>
            <w:vMerge/>
          </w:tcPr>
          <w:p w14:paraId="71368BC4" w14:textId="77777777" w:rsidR="00F06967" w:rsidRPr="008B4124" w:rsidRDefault="00F06967" w:rsidP="008B4124">
            <w:pPr>
              <w:adjustRightInd w:val="0"/>
              <w:jc w:val="center"/>
              <w:rPr>
                <w:rFonts w:asciiTheme="majorBidi" w:hAnsiTheme="majorBidi" w:cstheme="majorBidi"/>
                <w:color w:val="000000"/>
                <w:sz w:val="20"/>
                <w:szCs w:val="20"/>
              </w:rPr>
            </w:pPr>
          </w:p>
        </w:tc>
      </w:tr>
      <w:tr w:rsidR="00F06967" w:rsidRPr="008B4124" w14:paraId="14C54081" w14:textId="77777777" w:rsidTr="00AC4D36">
        <w:trPr>
          <w:trHeight w:val="53"/>
        </w:trPr>
        <w:tc>
          <w:tcPr>
            <w:tcW w:w="0" w:type="auto"/>
            <w:gridSpan w:val="2"/>
          </w:tcPr>
          <w:p w14:paraId="1CD43E28"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HTN</w:t>
            </w:r>
          </w:p>
        </w:tc>
        <w:tc>
          <w:tcPr>
            <w:tcW w:w="0" w:type="auto"/>
          </w:tcPr>
          <w:p w14:paraId="15614D84"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194</w:t>
            </w:r>
          </w:p>
        </w:tc>
        <w:tc>
          <w:tcPr>
            <w:tcW w:w="0" w:type="auto"/>
          </w:tcPr>
          <w:p w14:paraId="50E77148"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43.4%</w:t>
            </w:r>
          </w:p>
        </w:tc>
        <w:tc>
          <w:tcPr>
            <w:tcW w:w="0" w:type="auto"/>
          </w:tcPr>
          <w:p w14:paraId="59F1B710"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57</w:t>
            </w:r>
          </w:p>
        </w:tc>
        <w:tc>
          <w:tcPr>
            <w:tcW w:w="0" w:type="auto"/>
          </w:tcPr>
          <w:p w14:paraId="2908CDD6"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63.3%</w:t>
            </w:r>
          </w:p>
        </w:tc>
        <w:tc>
          <w:tcPr>
            <w:tcW w:w="0" w:type="auto"/>
          </w:tcPr>
          <w:p w14:paraId="51CD493B"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29</w:t>
            </w:r>
          </w:p>
        </w:tc>
        <w:tc>
          <w:tcPr>
            <w:tcW w:w="866" w:type="dxa"/>
          </w:tcPr>
          <w:p w14:paraId="4B7F4901"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72.5%</w:t>
            </w:r>
          </w:p>
        </w:tc>
        <w:tc>
          <w:tcPr>
            <w:tcW w:w="1098" w:type="dxa"/>
          </w:tcPr>
          <w:p w14:paraId="6D208CC5" w14:textId="77777777" w:rsidR="00F06967" w:rsidRPr="008B4124" w:rsidRDefault="00F06967" w:rsidP="008B4124">
            <w:pPr>
              <w:adjustRightInd w:val="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0.0001</w:t>
            </w:r>
          </w:p>
        </w:tc>
      </w:tr>
      <w:tr w:rsidR="00F06967" w:rsidRPr="008B4124" w14:paraId="4FE94C95" w14:textId="77777777" w:rsidTr="00AC4D36">
        <w:trPr>
          <w:trHeight w:val="53"/>
        </w:trPr>
        <w:tc>
          <w:tcPr>
            <w:tcW w:w="0" w:type="auto"/>
            <w:gridSpan w:val="2"/>
          </w:tcPr>
          <w:p w14:paraId="6E484DBB"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DM</w:t>
            </w:r>
          </w:p>
        </w:tc>
        <w:tc>
          <w:tcPr>
            <w:tcW w:w="0" w:type="auto"/>
          </w:tcPr>
          <w:p w14:paraId="66DAF9F7"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166</w:t>
            </w:r>
          </w:p>
        </w:tc>
        <w:tc>
          <w:tcPr>
            <w:tcW w:w="0" w:type="auto"/>
          </w:tcPr>
          <w:p w14:paraId="79B45C4F"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37.1%</w:t>
            </w:r>
          </w:p>
        </w:tc>
        <w:tc>
          <w:tcPr>
            <w:tcW w:w="0" w:type="auto"/>
          </w:tcPr>
          <w:p w14:paraId="17462BE7"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45</w:t>
            </w:r>
          </w:p>
        </w:tc>
        <w:tc>
          <w:tcPr>
            <w:tcW w:w="0" w:type="auto"/>
          </w:tcPr>
          <w:p w14:paraId="7A0EF14A"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50.0%</w:t>
            </w:r>
          </w:p>
        </w:tc>
        <w:tc>
          <w:tcPr>
            <w:tcW w:w="0" w:type="auto"/>
          </w:tcPr>
          <w:p w14:paraId="2A4BA2D0"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24</w:t>
            </w:r>
          </w:p>
        </w:tc>
        <w:tc>
          <w:tcPr>
            <w:tcW w:w="866" w:type="dxa"/>
          </w:tcPr>
          <w:p w14:paraId="32B1D3DD"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60.0%</w:t>
            </w:r>
          </w:p>
        </w:tc>
        <w:tc>
          <w:tcPr>
            <w:tcW w:w="1098" w:type="dxa"/>
          </w:tcPr>
          <w:p w14:paraId="6B199801" w14:textId="77777777" w:rsidR="00F06967" w:rsidRPr="008B4124" w:rsidRDefault="00F06967" w:rsidP="008B4124">
            <w:pPr>
              <w:adjustRightInd w:val="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0.0001</w:t>
            </w:r>
          </w:p>
        </w:tc>
      </w:tr>
      <w:tr w:rsidR="00F06967" w:rsidRPr="008B4124" w14:paraId="037FCD2E" w14:textId="77777777" w:rsidTr="00AC4D36">
        <w:trPr>
          <w:trHeight w:val="53"/>
        </w:trPr>
        <w:tc>
          <w:tcPr>
            <w:tcW w:w="0" w:type="auto"/>
            <w:gridSpan w:val="2"/>
          </w:tcPr>
          <w:p w14:paraId="442BD176"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Stroke</w:t>
            </w:r>
          </w:p>
        </w:tc>
        <w:tc>
          <w:tcPr>
            <w:tcW w:w="0" w:type="auto"/>
          </w:tcPr>
          <w:p w14:paraId="600F73D5"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6</w:t>
            </w:r>
          </w:p>
        </w:tc>
        <w:tc>
          <w:tcPr>
            <w:tcW w:w="0" w:type="auto"/>
          </w:tcPr>
          <w:p w14:paraId="4BDB95A9"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1.3%</w:t>
            </w:r>
          </w:p>
        </w:tc>
        <w:tc>
          <w:tcPr>
            <w:tcW w:w="0" w:type="auto"/>
          </w:tcPr>
          <w:p w14:paraId="420941B9"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6</w:t>
            </w:r>
          </w:p>
        </w:tc>
        <w:tc>
          <w:tcPr>
            <w:tcW w:w="0" w:type="auto"/>
          </w:tcPr>
          <w:p w14:paraId="782B1B10"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6.7%</w:t>
            </w:r>
          </w:p>
        </w:tc>
        <w:tc>
          <w:tcPr>
            <w:tcW w:w="0" w:type="auto"/>
          </w:tcPr>
          <w:p w14:paraId="28BA323F"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4</w:t>
            </w:r>
          </w:p>
        </w:tc>
        <w:tc>
          <w:tcPr>
            <w:tcW w:w="866" w:type="dxa"/>
          </w:tcPr>
          <w:p w14:paraId="0A2650EA"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10.0%</w:t>
            </w:r>
          </w:p>
        </w:tc>
        <w:tc>
          <w:tcPr>
            <w:tcW w:w="1098" w:type="dxa"/>
          </w:tcPr>
          <w:p w14:paraId="7AFAD30F" w14:textId="77777777" w:rsidR="00F06967" w:rsidRPr="008B4124" w:rsidRDefault="00F06967" w:rsidP="008B4124">
            <w:pPr>
              <w:adjustRightInd w:val="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0.0001</w:t>
            </w:r>
          </w:p>
        </w:tc>
      </w:tr>
      <w:tr w:rsidR="00F06967" w:rsidRPr="008B4124" w14:paraId="65AFC0A7" w14:textId="77777777" w:rsidTr="00AC4D36">
        <w:trPr>
          <w:trHeight w:val="53"/>
        </w:trPr>
        <w:tc>
          <w:tcPr>
            <w:tcW w:w="0" w:type="auto"/>
            <w:gridSpan w:val="2"/>
          </w:tcPr>
          <w:p w14:paraId="58EF1262"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2D EF (%)</w:t>
            </w:r>
          </w:p>
        </w:tc>
        <w:tc>
          <w:tcPr>
            <w:tcW w:w="0" w:type="auto"/>
          </w:tcPr>
          <w:p w14:paraId="66A12E0A"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sz w:val="20"/>
                <w:szCs w:val="20"/>
              </w:rPr>
              <w:t xml:space="preserve">57.4 </w:t>
            </w:r>
            <w:r w:rsidRPr="008B4124">
              <w:rPr>
                <w:rFonts w:asciiTheme="majorBidi" w:hAnsiTheme="majorBidi" w:cstheme="majorBidi"/>
                <w:color w:val="000000"/>
                <w:sz w:val="20"/>
                <w:szCs w:val="20"/>
              </w:rPr>
              <w:t>± 9.5</w:t>
            </w:r>
          </w:p>
        </w:tc>
        <w:tc>
          <w:tcPr>
            <w:tcW w:w="0" w:type="auto"/>
          </w:tcPr>
          <w:p w14:paraId="507019D0"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30-85</w:t>
            </w:r>
          </w:p>
        </w:tc>
        <w:tc>
          <w:tcPr>
            <w:tcW w:w="0" w:type="auto"/>
          </w:tcPr>
          <w:p w14:paraId="779B14C7"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sz w:val="20"/>
                <w:szCs w:val="20"/>
              </w:rPr>
              <w:t xml:space="preserve">45.2 </w:t>
            </w:r>
            <w:r w:rsidRPr="008B4124">
              <w:rPr>
                <w:rFonts w:asciiTheme="majorBidi" w:hAnsiTheme="majorBidi" w:cstheme="majorBidi"/>
                <w:color w:val="000000"/>
                <w:sz w:val="20"/>
                <w:szCs w:val="20"/>
              </w:rPr>
              <w:t>±9.9</w:t>
            </w:r>
          </w:p>
        </w:tc>
        <w:tc>
          <w:tcPr>
            <w:tcW w:w="0" w:type="auto"/>
          </w:tcPr>
          <w:p w14:paraId="13791CCB"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20-72</w:t>
            </w:r>
          </w:p>
        </w:tc>
        <w:tc>
          <w:tcPr>
            <w:tcW w:w="0" w:type="auto"/>
          </w:tcPr>
          <w:p w14:paraId="28524D06"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sz w:val="20"/>
                <w:szCs w:val="20"/>
              </w:rPr>
              <w:t xml:space="preserve">39.6 </w:t>
            </w:r>
            <w:r w:rsidRPr="008B4124">
              <w:rPr>
                <w:rFonts w:asciiTheme="majorBidi" w:hAnsiTheme="majorBidi" w:cstheme="majorBidi"/>
                <w:color w:val="000000"/>
                <w:sz w:val="20"/>
                <w:szCs w:val="20"/>
              </w:rPr>
              <w:t>± 6.8</w:t>
            </w:r>
          </w:p>
        </w:tc>
        <w:tc>
          <w:tcPr>
            <w:tcW w:w="866" w:type="dxa"/>
          </w:tcPr>
          <w:p w14:paraId="78619846"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25-57</w:t>
            </w:r>
          </w:p>
        </w:tc>
        <w:tc>
          <w:tcPr>
            <w:tcW w:w="1098" w:type="dxa"/>
          </w:tcPr>
          <w:p w14:paraId="531B9F01" w14:textId="77777777" w:rsidR="00F06967" w:rsidRPr="008B4124" w:rsidRDefault="00F06967" w:rsidP="008B4124">
            <w:pPr>
              <w:adjustRightInd w:val="0"/>
              <w:ind w:left="60" w:right="6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0.0001</w:t>
            </w:r>
          </w:p>
        </w:tc>
      </w:tr>
      <w:tr w:rsidR="00F06967" w:rsidRPr="008B4124" w14:paraId="4BE25CE7" w14:textId="77777777" w:rsidTr="00AC4D36">
        <w:trPr>
          <w:trHeight w:val="53"/>
        </w:trPr>
        <w:tc>
          <w:tcPr>
            <w:tcW w:w="0" w:type="auto"/>
            <w:gridSpan w:val="2"/>
          </w:tcPr>
          <w:p w14:paraId="227EB7F6" w14:textId="77777777" w:rsidR="00F06967" w:rsidRPr="008B4124" w:rsidRDefault="00F06967" w:rsidP="008B4124">
            <w:pPr>
              <w:adjustRightInd w:val="0"/>
              <w:ind w:left="60" w:right="60"/>
              <w:rPr>
                <w:rFonts w:asciiTheme="majorBidi" w:hAnsiTheme="majorBidi" w:cstheme="majorBidi"/>
                <w:color w:val="000000"/>
                <w:sz w:val="20"/>
                <w:szCs w:val="20"/>
              </w:rPr>
            </w:pPr>
            <w:r w:rsidRPr="008B4124">
              <w:rPr>
                <w:rFonts w:asciiTheme="majorBidi" w:hAnsiTheme="majorBidi" w:cstheme="majorBidi"/>
                <w:color w:val="000000"/>
                <w:sz w:val="20"/>
                <w:szCs w:val="20"/>
              </w:rPr>
              <w:t>CHADVASC</w:t>
            </w:r>
          </w:p>
        </w:tc>
        <w:tc>
          <w:tcPr>
            <w:tcW w:w="0" w:type="auto"/>
          </w:tcPr>
          <w:p w14:paraId="7264246B"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 xml:space="preserve">1.6 </w:t>
            </w:r>
            <w:r w:rsidRPr="008B4124">
              <w:rPr>
                <w:rFonts w:asciiTheme="majorBidi" w:hAnsiTheme="majorBidi" w:cstheme="majorBidi"/>
                <w:color w:val="000000"/>
                <w:sz w:val="20"/>
                <w:szCs w:val="20"/>
              </w:rPr>
              <w:t>± 1.3</w:t>
            </w:r>
          </w:p>
        </w:tc>
        <w:tc>
          <w:tcPr>
            <w:tcW w:w="0" w:type="auto"/>
          </w:tcPr>
          <w:p w14:paraId="06D604BA"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0-5</w:t>
            </w:r>
          </w:p>
        </w:tc>
        <w:tc>
          <w:tcPr>
            <w:tcW w:w="0" w:type="auto"/>
          </w:tcPr>
          <w:p w14:paraId="5B7FFD9B"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 xml:space="preserve">2.8 </w:t>
            </w:r>
            <w:r w:rsidRPr="008B4124">
              <w:rPr>
                <w:rFonts w:asciiTheme="majorBidi" w:hAnsiTheme="majorBidi" w:cstheme="majorBidi"/>
                <w:color w:val="000000"/>
                <w:sz w:val="20"/>
                <w:szCs w:val="20"/>
              </w:rPr>
              <w:t>± 1.5</w:t>
            </w:r>
          </w:p>
        </w:tc>
        <w:tc>
          <w:tcPr>
            <w:tcW w:w="0" w:type="auto"/>
          </w:tcPr>
          <w:p w14:paraId="5830F953"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0-6</w:t>
            </w:r>
          </w:p>
        </w:tc>
        <w:tc>
          <w:tcPr>
            <w:tcW w:w="0" w:type="auto"/>
          </w:tcPr>
          <w:p w14:paraId="69D9D312"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 xml:space="preserve">3.9 </w:t>
            </w:r>
            <w:r w:rsidRPr="008B4124">
              <w:rPr>
                <w:rFonts w:asciiTheme="majorBidi" w:hAnsiTheme="majorBidi" w:cstheme="majorBidi"/>
                <w:color w:val="000000"/>
                <w:sz w:val="20"/>
                <w:szCs w:val="20"/>
              </w:rPr>
              <w:t>± 1.6</w:t>
            </w:r>
          </w:p>
        </w:tc>
        <w:tc>
          <w:tcPr>
            <w:tcW w:w="866" w:type="dxa"/>
          </w:tcPr>
          <w:p w14:paraId="64834549" w14:textId="77777777" w:rsidR="00F06967" w:rsidRPr="008B4124" w:rsidRDefault="00F06967" w:rsidP="008B4124">
            <w:pPr>
              <w:adjustRightInd w:val="0"/>
              <w:jc w:val="center"/>
              <w:rPr>
                <w:rFonts w:asciiTheme="majorBidi" w:hAnsiTheme="majorBidi" w:cstheme="majorBidi"/>
                <w:sz w:val="20"/>
                <w:szCs w:val="20"/>
              </w:rPr>
            </w:pPr>
            <w:r w:rsidRPr="008B4124">
              <w:rPr>
                <w:rFonts w:asciiTheme="majorBidi" w:hAnsiTheme="majorBidi" w:cstheme="majorBidi"/>
                <w:sz w:val="20"/>
                <w:szCs w:val="20"/>
              </w:rPr>
              <w:t>1-7</w:t>
            </w:r>
          </w:p>
        </w:tc>
        <w:tc>
          <w:tcPr>
            <w:tcW w:w="1098" w:type="dxa"/>
          </w:tcPr>
          <w:p w14:paraId="1B05E301" w14:textId="77777777" w:rsidR="00F06967" w:rsidRPr="008B4124" w:rsidRDefault="00F06967" w:rsidP="008B4124">
            <w:pPr>
              <w:adjustRightInd w:val="0"/>
              <w:jc w:val="center"/>
              <w:rPr>
                <w:rFonts w:asciiTheme="majorBidi" w:hAnsiTheme="majorBidi" w:cstheme="majorBidi"/>
                <w:color w:val="000000"/>
                <w:sz w:val="20"/>
                <w:szCs w:val="20"/>
              </w:rPr>
            </w:pPr>
            <w:r w:rsidRPr="008B4124">
              <w:rPr>
                <w:rFonts w:asciiTheme="majorBidi" w:hAnsiTheme="majorBidi" w:cstheme="majorBidi"/>
                <w:color w:val="000000"/>
                <w:sz w:val="20"/>
                <w:szCs w:val="20"/>
              </w:rPr>
              <w:t>0.0001</w:t>
            </w:r>
          </w:p>
        </w:tc>
      </w:tr>
    </w:tbl>
    <w:p w14:paraId="79D1C888" w14:textId="77777777" w:rsidR="00F06967" w:rsidRPr="008B4124" w:rsidRDefault="00F06967" w:rsidP="008B4124">
      <w:pPr>
        <w:pStyle w:val="BodyText"/>
        <w:widowControl/>
        <w:ind w:left="0"/>
        <w:rPr>
          <w:rFonts w:asciiTheme="majorBidi" w:hAnsiTheme="majorBidi" w:cstheme="majorBidi"/>
        </w:rPr>
        <w:sectPr w:rsidR="00F06967" w:rsidRPr="008B4124" w:rsidSect="008B4124">
          <w:type w:val="continuous"/>
          <w:pgSz w:w="11910" w:h="16840" w:code="9"/>
          <w:pgMar w:top="1440" w:right="1110" w:bottom="1440" w:left="1080" w:header="706" w:footer="706" w:gutter="0"/>
          <w:cols w:space="706"/>
        </w:sectPr>
      </w:pPr>
    </w:p>
    <w:p w14:paraId="4E0D0DBA" w14:textId="325B762F" w:rsidR="00F06967" w:rsidRPr="008B4124" w:rsidRDefault="00F06967" w:rsidP="008B4124">
      <w:pPr>
        <w:pStyle w:val="BodyText"/>
        <w:widowControl/>
        <w:ind w:left="0"/>
        <w:rPr>
          <w:rFonts w:asciiTheme="majorBidi" w:hAnsiTheme="majorBidi" w:cstheme="majorBidi"/>
        </w:rPr>
      </w:pPr>
    </w:p>
    <w:p w14:paraId="6E42C96B" w14:textId="77777777" w:rsidR="00AC4D36" w:rsidRDefault="00AC4D36" w:rsidP="00AC4D36">
      <w:pPr>
        <w:pStyle w:val="BodyText"/>
        <w:widowControl/>
        <w:ind w:left="0" w:firstLine="360"/>
        <w:rPr>
          <w:rFonts w:asciiTheme="majorBidi" w:hAnsiTheme="majorBidi" w:cstheme="majorBidi"/>
        </w:rPr>
        <w:sectPr w:rsidR="00AC4D36" w:rsidSect="00AC4D36">
          <w:type w:val="continuous"/>
          <w:pgSz w:w="11910" w:h="16840" w:code="9"/>
          <w:pgMar w:top="1440" w:right="1110" w:bottom="1440" w:left="1080" w:header="706" w:footer="706" w:gutter="0"/>
          <w:cols w:space="706"/>
        </w:sectPr>
      </w:pPr>
    </w:p>
    <w:p w14:paraId="57BAB283" w14:textId="163444DF" w:rsidR="00AA0CAE" w:rsidRDefault="009B0611" w:rsidP="00AC4D36">
      <w:pPr>
        <w:pStyle w:val="BodyText"/>
        <w:widowControl/>
        <w:ind w:left="0" w:firstLine="360"/>
        <w:rPr>
          <w:rFonts w:asciiTheme="majorBidi" w:hAnsiTheme="majorBidi" w:cstheme="majorBidi"/>
        </w:rPr>
      </w:pPr>
      <w:r w:rsidRPr="008B4124">
        <w:rPr>
          <w:rFonts w:asciiTheme="majorBidi" w:hAnsiTheme="majorBidi" w:cstheme="majorBidi"/>
        </w:rPr>
        <w:lastRenderedPageBreak/>
        <w:t xml:space="preserve">There was a statistically significant difference between SYNTAX score tertiles in terms of degree of CHF, as grade III CHF was most prevalence among high SYNTAX score with p value 0.0001. HTN was significantly more prevalent among high SYNTAX score group with p value 0.0001, nonetheless, 2D ejection fraction was the significantly lower and among </w:t>
      </w:r>
      <w:r w:rsidRPr="008B4124">
        <w:rPr>
          <w:rFonts w:asciiTheme="majorBidi" w:hAnsiTheme="majorBidi" w:cstheme="majorBidi"/>
        </w:rPr>
        <w:lastRenderedPageBreak/>
        <w:t xml:space="preserve">high SYNTAX score with p value 0.0001. CHAVASC score was significantly higher among high SYNATX group with p value 0.0001 and showed good correlation with GLS (p value </w:t>
      </w:r>
      <w:r w:rsidRPr="008B4124">
        <w:rPr>
          <w:rFonts w:asciiTheme="majorBidi" w:hAnsiTheme="majorBidi" w:cstheme="majorBidi"/>
          <w:rtl/>
          <w:lang w:bidi="ar-EG"/>
        </w:rPr>
        <w:t>&gt;</w:t>
      </w:r>
      <w:r w:rsidRPr="008B4124">
        <w:rPr>
          <w:rFonts w:asciiTheme="majorBidi" w:hAnsiTheme="majorBidi" w:cstheme="majorBidi"/>
          <w:lang w:bidi="ar-EG"/>
        </w:rPr>
        <w:t xml:space="preserve"> 0.001)</w:t>
      </w:r>
      <w:r w:rsidRPr="008B4124">
        <w:rPr>
          <w:rFonts w:asciiTheme="majorBidi" w:hAnsiTheme="majorBidi" w:cstheme="majorBidi"/>
        </w:rPr>
        <w:t>.</w:t>
      </w:r>
    </w:p>
    <w:p w14:paraId="1AAD0D53" w14:textId="77777777" w:rsidR="00AC4D36" w:rsidRDefault="00AC4D36" w:rsidP="008B4124">
      <w:pPr>
        <w:pStyle w:val="BodyText"/>
        <w:widowControl/>
        <w:ind w:left="0"/>
        <w:rPr>
          <w:rFonts w:asciiTheme="majorBidi" w:hAnsiTheme="majorBidi" w:cstheme="majorBidi"/>
        </w:rPr>
      </w:pPr>
    </w:p>
    <w:p w14:paraId="371ABC84" w14:textId="77777777" w:rsidR="0044492D" w:rsidRDefault="0044492D" w:rsidP="008B4124">
      <w:pPr>
        <w:pStyle w:val="BodyText"/>
        <w:widowControl/>
        <w:ind w:left="0"/>
        <w:rPr>
          <w:rFonts w:asciiTheme="majorBidi" w:hAnsiTheme="majorBidi" w:cstheme="majorBidi"/>
        </w:rPr>
      </w:pPr>
    </w:p>
    <w:p w14:paraId="17BED58E" w14:textId="77777777" w:rsidR="0044492D" w:rsidRDefault="0044492D" w:rsidP="008B4124">
      <w:pPr>
        <w:pStyle w:val="BodyText"/>
        <w:widowControl/>
        <w:ind w:left="0"/>
        <w:rPr>
          <w:rFonts w:asciiTheme="majorBidi" w:hAnsiTheme="majorBidi" w:cstheme="majorBidi"/>
        </w:rPr>
        <w:sectPr w:rsidR="0044492D" w:rsidSect="00AC4D36">
          <w:type w:val="continuous"/>
          <w:pgSz w:w="11910" w:h="16840" w:code="9"/>
          <w:pgMar w:top="1440" w:right="1110" w:bottom="1440" w:left="1080" w:header="706" w:footer="706" w:gutter="0"/>
          <w:cols w:num="2" w:space="706"/>
        </w:sectPr>
      </w:pPr>
    </w:p>
    <w:p w14:paraId="4EA5327A" w14:textId="77777777" w:rsidR="00AC4D36" w:rsidRDefault="00AC4D36" w:rsidP="008B4124">
      <w:pPr>
        <w:pStyle w:val="BodyText"/>
        <w:widowControl/>
        <w:ind w:left="0"/>
        <w:rPr>
          <w:rFonts w:asciiTheme="majorBidi" w:hAnsiTheme="majorBidi" w:cstheme="majorBidi"/>
          <w:b/>
          <w:bCs/>
        </w:rPr>
      </w:pPr>
    </w:p>
    <w:p w14:paraId="328E5E25" w14:textId="77777777" w:rsidR="00AC4D36" w:rsidRDefault="00AC4D36" w:rsidP="008B4124">
      <w:pPr>
        <w:pStyle w:val="BodyText"/>
        <w:widowControl/>
        <w:ind w:left="0"/>
        <w:rPr>
          <w:rFonts w:asciiTheme="majorBidi" w:hAnsiTheme="majorBidi" w:cstheme="majorBidi"/>
          <w:b/>
          <w:bCs/>
        </w:rPr>
      </w:pPr>
    </w:p>
    <w:p w14:paraId="305F2D86" w14:textId="1A632362" w:rsidR="00AA0CAE" w:rsidRPr="008B4124" w:rsidRDefault="00D84EB3" w:rsidP="008B4124">
      <w:pPr>
        <w:pStyle w:val="BodyText"/>
        <w:widowControl/>
        <w:ind w:left="0"/>
        <w:rPr>
          <w:rFonts w:asciiTheme="majorBidi" w:hAnsiTheme="majorBidi" w:cstheme="majorBidi"/>
        </w:rPr>
      </w:pPr>
      <w:r w:rsidRPr="008B4124">
        <w:rPr>
          <w:rFonts w:asciiTheme="majorBidi" w:hAnsiTheme="majorBidi" w:cstheme="majorBidi"/>
          <w:b/>
          <w:bCs/>
        </w:rPr>
        <w:lastRenderedPageBreak/>
        <w:t>4.</w:t>
      </w:r>
      <w:r w:rsidR="00AC4D36">
        <w:rPr>
          <w:rFonts w:asciiTheme="majorBidi" w:hAnsiTheme="majorBidi" w:cstheme="majorBidi"/>
          <w:b/>
          <w:bCs/>
        </w:rPr>
        <w:t xml:space="preserve"> </w:t>
      </w:r>
      <w:r w:rsidR="00AC4D36" w:rsidRPr="008B4124">
        <w:rPr>
          <w:rFonts w:asciiTheme="majorBidi" w:hAnsiTheme="majorBidi" w:cstheme="majorBidi"/>
          <w:b/>
          <w:bCs/>
        </w:rPr>
        <w:t>Discussion</w:t>
      </w:r>
      <w:r w:rsidR="009B0611" w:rsidRPr="008B4124">
        <w:rPr>
          <w:rFonts w:asciiTheme="majorBidi" w:hAnsiTheme="majorBidi" w:cstheme="majorBidi"/>
        </w:rPr>
        <w:t xml:space="preserve">     </w:t>
      </w:r>
    </w:p>
    <w:p w14:paraId="48E097F3" w14:textId="77777777" w:rsidR="006E57EA" w:rsidRPr="008B4124" w:rsidRDefault="006E57EA" w:rsidP="008B4124">
      <w:pPr>
        <w:pStyle w:val="BodyText"/>
        <w:widowControl/>
        <w:ind w:left="0" w:firstLine="360"/>
        <w:rPr>
          <w:rFonts w:asciiTheme="majorBidi" w:hAnsiTheme="majorBidi" w:cstheme="majorBidi"/>
        </w:rPr>
      </w:pPr>
      <w:r w:rsidRPr="008B4124">
        <w:rPr>
          <w:rFonts w:asciiTheme="majorBidi" w:hAnsiTheme="majorBidi" w:cstheme="majorBidi"/>
        </w:rPr>
        <w:t xml:space="preserve">This research found that patients in the highest SYNTAX score </w:t>
      </w:r>
      <w:proofErr w:type="spellStart"/>
      <w:r w:rsidRPr="008B4124">
        <w:rPr>
          <w:rFonts w:asciiTheme="majorBidi" w:hAnsiTheme="majorBidi" w:cstheme="majorBidi"/>
        </w:rPr>
        <w:t>tertile</w:t>
      </w:r>
      <w:proofErr w:type="spellEnd"/>
      <w:r w:rsidRPr="008B4124">
        <w:rPr>
          <w:rFonts w:asciiTheme="majorBidi" w:hAnsiTheme="majorBidi" w:cstheme="majorBidi"/>
        </w:rPr>
        <w:t xml:space="preserve"> were older and had poorer LVEF than those in the intermediate and lower SYNTAX score tiers. Hypertension and diabetes mellitus were also more prevalent in the top tier.</w:t>
      </w:r>
    </w:p>
    <w:p w14:paraId="7CC9949A" w14:textId="77777777" w:rsidR="006E57EA" w:rsidRPr="008B4124" w:rsidRDefault="006E57EA" w:rsidP="008B4124">
      <w:pPr>
        <w:pStyle w:val="BodyText"/>
        <w:widowControl/>
        <w:ind w:left="0" w:firstLine="360"/>
        <w:rPr>
          <w:rFonts w:asciiTheme="majorBidi" w:hAnsiTheme="majorBidi" w:cstheme="majorBidi"/>
        </w:rPr>
      </w:pPr>
      <w:r w:rsidRPr="008B4124">
        <w:rPr>
          <w:rFonts w:asciiTheme="majorBidi" w:hAnsiTheme="majorBidi" w:cstheme="majorBidi"/>
        </w:rPr>
        <w:t xml:space="preserve">Males accounted for 68.4 percent of the population and had an average age of 65.5 +/- 11.5 years, according to </w:t>
      </w:r>
      <w:proofErr w:type="spellStart"/>
      <w:r w:rsidRPr="008B4124">
        <w:rPr>
          <w:rFonts w:asciiTheme="majorBidi" w:hAnsiTheme="majorBidi" w:cstheme="majorBidi"/>
        </w:rPr>
        <w:t>Harutyunyan</w:t>
      </w:r>
      <w:proofErr w:type="spellEnd"/>
      <w:r w:rsidRPr="008B4124">
        <w:rPr>
          <w:rFonts w:asciiTheme="majorBidi" w:hAnsiTheme="majorBidi" w:cstheme="majorBidi"/>
        </w:rPr>
        <w:t xml:space="preserve"> M., et al., 2021. More advanced CAD, such as 3-vessel and left-main (LM) </w:t>
      </w:r>
      <w:proofErr w:type="gramStart"/>
      <w:r w:rsidRPr="008B4124">
        <w:rPr>
          <w:rFonts w:asciiTheme="majorBidi" w:hAnsiTheme="majorBidi" w:cstheme="majorBidi"/>
        </w:rPr>
        <w:t>CAD,</w:t>
      </w:r>
      <w:proofErr w:type="gramEnd"/>
      <w:r w:rsidRPr="008B4124">
        <w:rPr>
          <w:rFonts w:asciiTheme="majorBidi" w:hAnsiTheme="majorBidi" w:cstheme="majorBidi"/>
        </w:rPr>
        <w:t xml:space="preserve"> was linked to a higher CHADS-</w:t>
      </w:r>
      <w:proofErr w:type="spellStart"/>
      <w:r w:rsidRPr="008B4124">
        <w:rPr>
          <w:rFonts w:asciiTheme="majorBidi" w:hAnsiTheme="majorBidi" w:cstheme="majorBidi"/>
        </w:rPr>
        <w:t>VASc</w:t>
      </w:r>
      <w:proofErr w:type="spellEnd"/>
      <w:r w:rsidRPr="008B4124">
        <w:rPr>
          <w:rFonts w:asciiTheme="majorBidi" w:hAnsiTheme="majorBidi" w:cstheme="majorBidi"/>
        </w:rPr>
        <w:t xml:space="preserve"> morbidity burden. It is estimated that 16.3 percent of patients with the lowest CHADS-</w:t>
      </w:r>
      <w:proofErr w:type="spellStart"/>
      <w:r w:rsidRPr="008B4124">
        <w:rPr>
          <w:rFonts w:asciiTheme="majorBidi" w:hAnsiTheme="majorBidi" w:cstheme="majorBidi"/>
        </w:rPr>
        <w:t>VASc</w:t>
      </w:r>
      <w:proofErr w:type="spellEnd"/>
      <w:r w:rsidRPr="008B4124">
        <w:rPr>
          <w:rFonts w:asciiTheme="majorBidi" w:hAnsiTheme="majorBidi" w:cstheme="majorBidi"/>
        </w:rPr>
        <w:t xml:space="preserve"> score were found to have 3 vessel </w:t>
      </w:r>
      <w:proofErr w:type="gramStart"/>
      <w:r w:rsidRPr="008B4124">
        <w:rPr>
          <w:rFonts w:asciiTheme="majorBidi" w:hAnsiTheme="majorBidi" w:cstheme="majorBidi"/>
        </w:rPr>
        <w:t>disease</w:t>
      </w:r>
      <w:proofErr w:type="gramEnd"/>
      <w:r w:rsidRPr="008B4124">
        <w:rPr>
          <w:rFonts w:asciiTheme="majorBidi" w:hAnsiTheme="majorBidi" w:cstheme="majorBidi"/>
        </w:rPr>
        <w:t xml:space="preserve">, while 20 percent were found to have it, and 2.3 percent were found to have it. Patients who scored 6 or higher had 31.2 percent 3 vessel </w:t>
      </w:r>
      <w:proofErr w:type="gramStart"/>
      <w:r w:rsidRPr="008B4124">
        <w:rPr>
          <w:rFonts w:asciiTheme="majorBidi" w:hAnsiTheme="majorBidi" w:cstheme="majorBidi"/>
        </w:rPr>
        <w:t>disease</w:t>
      </w:r>
      <w:proofErr w:type="gramEnd"/>
      <w:r w:rsidRPr="008B4124">
        <w:rPr>
          <w:rFonts w:asciiTheme="majorBidi" w:hAnsiTheme="majorBidi" w:cstheme="majorBidi"/>
        </w:rPr>
        <w:t xml:space="preserve">, while those who scored 6 and/or 7 were found to have 31.2-percent three-vessel disease (p0.0001). For example, according to Cetin M et al. (2014), the CHA2DS2-VASc score and the </w:t>
      </w:r>
      <w:proofErr w:type="spellStart"/>
      <w:r w:rsidRPr="008B4124">
        <w:rPr>
          <w:rFonts w:asciiTheme="majorBidi" w:hAnsiTheme="majorBidi" w:cstheme="majorBidi"/>
        </w:rPr>
        <w:t>Gensini</w:t>
      </w:r>
      <w:proofErr w:type="spellEnd"/>
      <w:r w:rsidRPr="008B4124">
        <w:rPr>
          <w:rFonts w:asciiTheme="majorBidi" w:hAnsiTheme="majorBidi" w:cstheme="majorBidi"/>
        </w:rPr>
        <w:t xml:space="preserve"> score both had significant correlations with the number of sick vessels (r = 0.308, p 0.001). Another study found that the </w:t>
      </w:r>
      <w:proofErr w:type="spellStart"/>
      <w:r w:rsidRPr="008B4124">
        <w:rPr>
          <w:rFonts w:asciiTheme="majorBidi" w:hAnsiTheme="majorBidi" w:cstheme="majorBidi"/>
        </w:rPr>
        <w:t>Chadsvasc</w:t>
      </w:r>
      <w:proofErr w:type="spellEnd"/>
      <w:r w:rsidRPr="008B4124">
        <w:rPr>
          <w:rFonts w:asciiTheme="majorBidi" w:hAnsiTheme="majorBidi" w:cstheme="majorBidi"/>
        </w:rPr>
        <w:t xml:space="preserve"> score was a stronger predictor of the existence and severity of coronary artery disease (CAD) than the chads score.</w:t>
      </w:r>
    </w:p>
    <w:p w14:paraId="41771B99" w14:textId="77777777" w:rsidR="00AC4D36" w:rsidRDefault="00AC4D36" w:rsidP="008B4124">
      <w:pPr>
        <w:pStyle w:val="Heading1"/>
        <w:widowControl/>
        <w:tabs>
          <w:tab w:val="left" w:pos="842"/>
        </w:tabs>
        <w:spacing w:before="0"/>
        <w:ind w:left="0"/>
        <w:jc w:val="both"/>
        <w:rPr>
          <w:rFonts w:asciiTheme="majorBidi" w:hAnsiTheme="majorBidi" w:cstheme="majorBidi"/>
        </w:rPr>
      </w:pPr>
    </w:p>
    <w:p w14:paraId="225FDD21" w14:textId="6EB9E9BC" w:rsidR="00AA0CAE" w:rsidRPr="008B4124" w:rsidRDefault="00D84EB3" w:rsidP="008B4124">
      <w:pPr>
        <w:pStyle w:val="Heading1"/>
        <w:widowControl/>
        <w:tabs>
          <w:tab w:val="left" w:pos="842"/>
        </w:tabs>
        <w:spacing w:before="0"/>
        <w:ind w:left="0"/>
        <w:jc w:val="both"/>
        <w:rPr>
          <w:rFonts w:asciiTheme="majorBidi" w:hAnsiTheme="majorBidi" w:cstheme="majorBidi"/>
        </w:rPr>
      </w:pPr>
      <w:r w:rsidRPr="008B4124">
        <w:rPr>
          <w:rFonts w:asciiTheme="majorBidi" w:hAnsiTheme="majorBidi" w:cstheme="majorBidi"/>
        </w:rPr>
        <w:t>5.</w:t>
      </w:r>
      <w:r w:rsidR="00AC4D36">
        <w:rPr>
          <w:rFonts w:asciiTheme="majorBidi" w:hAnsiTheme="majorBidi" w:cstheme="majorBidi"/>
        </w:rPr>
        <w:t xml:space="preserve"> </w:t>
      </w:r>
      <w:r w:rsidR="009B0611" w:rsidRPr="008B4124">
        <w:rPr>
          <w:rFonts w:asciiTheme="majorBidi" w:hAnsiTheme="majorBidi" w:cstheme="majorBidi"/>
        </w:rPr>
        <w:t>Conclusion</w:t>
      </w:r>
    </w:p>
    <w:p w14:paraId="7F11B2AC" w14:textId="77777777" w:rsidR="006E57EA" w:rsidRPr="008B4124" w:rsidRDefault="006E57EA" w:rsidP="00AC4D36">
      <w:pPr>
        <w:pStyle w:val="Heading1"/>
        <w:widowControl/>
        <w:spacing w:before="0"/>
        <w:ind w:left="0" w:firstLine="360"/>
        <w:jc w:val="both"/>
        <w:rPr>
          <w:rFonts w:asciiTheme="majorBidi" w:hAnsiTheme="majorBidi" w:cstheme="majorBidi"/>
          <w:b w:val="0"/>
          <w:bCs w:val="0"/>
        </w:rPr>
      </w:pPr>
      <w:r w:rsidRPr="008B4124">
        <w:rPr>
          <w:rFonts w:asciiTheme="majorBidi" w:hAnsiTheme="majorBidi" w:cstheme="majorBidi"/>
          <w:b w:val="0"/>
          <w:bCs w:val="0"/>
        </w:rPr>
        <w:t xml:space="preserve">It is possible to </w:t>
      </w:r>
      <w:proofErr w:type="spellStart"/>
      <w:r w:rsidRPr="008B4124">
        <w:rPr>
          <w:rFonts w:asciiTheme="majorBidi" w:hAnsiTheme="majorBidi" w:cstheme="majorBidi"/>
          <w:b w:val="0"/>
          <w:bCs w:val="0"/>
        </w:rPr>
        <w:t>utilise</w:t>
      </w:r>
      <w:proofErr w:type="spellEnd"/>
      <w:r w:rsidRPr="008B4124">
        <w:rPr>
          <w:rFonts w:asciiTheme="majorBidi" w:hAnsiTheme="majorBidi" w:cstheme="majorBidi"/>
          <w:b w:val="0"/>
          <w:bCs w:val="0"/>
        </w:rPr>
        <w:t xml:space="preserve"> CHA2DS2-VASc scores to predict the severity of CAD determined by the syntactic score and its substantial connection with GLS.</w:t>
      </w:r>
    </w:p>
    <w:p w14:paraId="116A8AF6" w14:textId="77777777" w:rsidR="00AC4D36" w:rsidRDefault="00AC4D36" w:rsidP="008B4124">
      <w:pPr>
        <w:pStyle w:val="Heading1"/>
        <w:widowControl/>
        <w:spacing w:before="0"/>
        <w:ind w:left="0"/>
        <w:jc w:val="both"/>
        <w:rPr>
          <w:rFonts w:asciiTheme="majorBidi" w:hAnsiTheme="majorBidi" w:cstheme="majorBidi"/>
        </w:rPr>
      </w:pPr>
    </w:p>
    <w:p w14:paraId="18BA76BD" w14:textId="77395D36" w:rsidR="00D84EB3" w:rsidRPr="008B4124" w:rsidRDefault="00D84EB3" w:rsidP="008B4124">
      <w:pPr>
        <w:pStyle w:val="Heading1"/>
        <w:widowControl/>
        <w:spacing w:before="0"/>
        <w:ind w:left="0"/>
        <w:jc w:val="both"/>
        <w:rPr>
          <w:rFonts w:asciiTheme="majorBidi" w:hAnsiTheme="majorBidi" w:cstheme="majorBidi"/>
        </w:rPr>
      </w:pPr>
      <w:r w:rsidRPr="008B4124">
        <w:rPr>
          <w:rFonts w:asciiTheme="majorBidi" w:hAnsiTheme="majorBidi" w:cstheme="majorBidi"/>
        </w:rPr>
        <w:t>6.</w:t>
      </w:r>
      <w:r w:rsidR="00AC4D36">
        <w:rPr>
          <w:rFonts w:asciiTheme="majorBidi" w:hAnsiTheme="majorBidi" w:cstheme="majorBidi"/>
        </w:rPr>
        <w:t xml:space="preserve"> </w:t>
      </w:r>
      <w:r w:rsidR="00957B04" w:rsidRPr="008B4124">
        <w:rPr>
          <w:rFonts w:asciiTheme="majorBidi" w:hAnsiTheme="majorBidi" w:cstheme="majorBidi"/>
        </w:rPr>
        <w:t xml:space="preserve">Limitations </w:t>
      </w:r>
    </w:p>
    <w:p w14:paraId="6FC2827B" w14:textId="77777777" w:rsidR="006E57EA" w:rsidRPr="008B4124" w:rsidRDefault="006E57EA" w:rsidP="00AC4D36">
      <w:pPr>
        <w:pStyle w:val="Heading1"/>
        <w:widowControl/>
        <w:spacing w:before="0"/>
        <w:ind w:left="0" w:firstLine="360"/>
        <w:jc w:val="both"/>
        <w:rPr>
          <w:rFonts w:asciiTheme="majorBidi" w:hAnsiTheme="majorBidi" w:cstheme="majorBidi"/>
          <w:b w:val="0"/>
          <w:bCs w:val="0"/>
        </w:rPr>
      </w:pPr>
      <w:r w:rsidRPr="008B4124">
        <w:rPr>
          <w:rFonts w:asciiTheme="majorBidi" w:hAnsiTheme="majorBidi" w:cstheme="majorBidi"/>
          <w:b w:val="0"/>
          <w:bCs w:val="0"/>
        </w:rPr>
        <w:t>In this single-center investigation, SS was determined visually rather than using intravascular ultrasonography; more prospective trials with long-term follow-up are needed.</w:t>
      </w:r>
    </w:p>
    <w:p w14:paraId="683DD969" w14:textId="77777777" w:rsidR="00AC4D36" w:rsidRDefault="00AC4D36" w:rsidP="008B4124">
      <w:pPr>
        <w:pStyle w:val="Heading1"/>
        <w:widowControl/>
        <w:tabs>
          <w:tab w:val="left" w:pos="842"/>
        </w:tabs>
        <w:spacing w:before="0"/>
        <w:ind w:left="0"/>
        <w:jc w:val="both"/>
        <w:rPr>
          <w:rFonts w:asciiTheme="majorBidi" w:hAnsiTheme="majorBidi" w:cstheme="majorBidi"/>
        </w:rPr>
      </w:pPr>
    </w:p>
    <w:p w14:paraId="22AE18CE" w14:textId="052E9CB1" w:rsidR="00957B04" w:rsidRPr="008B4124" w:rsidRDefault="006E57EA" w:rsidP="008B4124">
      <w:pPr>
        <w:pStyle w:val="Heading1"/>
        <w:widowControl/>
        <w:tabs>
          <w:tab w:val="left" w:pos="842"/>
        </w:tabs>
        <w:spacing w:before="0"/>
        <w:ind w:left="0"/>
        <w:jc w:val="both"/>
        <w:rPr>
          <w:rFonts w:asciiTheme="majorBidi" w:hAnsiTheme="majorBidi" w:cstheme="majorBidi"/>
        </w:rPr>
      </w:pPr>
      <w:r w:rsidRPr="008B4124">
        <w:rPr>
          <w:rFonts w:asciiTheme="majorBidi" w:hAnsiTheme="majorBidi" w:cstheme="majorBidi"/>
        </w:rPr>
        <w:t>R</w:t>
      </w:r>
      <w:r w:rsidR="00957B04" w:rsidRPr="008B4124">
        <w:rPr>
          <w:rFonts w:asciiTheme="majorBidi" w:hAnsiTheme="majorBidi" w:cstheme="majorBidi"/>
        </w:rPr>
        <w:t>eferences</w:t>
      </w:r>
    </w:p>
    <w:p w14:paraId="7C53BA2D" w14:textId="580A2DBD" w:rsidR="00957B04" w:rsidRPr="008B4124" w:rsidRDefault="00755FD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N.</w:t>
      </w:r>
      <w:r w:rsidR="00957B04" w:rsidRPr="008B4124">
        <w:rPr>
          <w:rFonts w:asciiTheme="majorBidi" w:hAnsiTheme="majorBidi" w:cstheme="majorBidi"/>
        </w:rPr>
        <w:t>Makki</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TM.</w:t>
      </w:r>
      <w:r w:rsidR="00957B04" w:rsidRPr="008B4124">
        <w:rPr>
          <w:rFonts w:asciiTheme="majorBidi" w:hAnsiTheme="majorBidi" w:cstheme="majorBidi"/>
        </w:rPr>
        <w:t>Brennan</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S.</w:t>
      </w:r>
      <w:r w:rsidR="00957B04" w:rsidRPr="008B4124">
        <w:rPr>
          <w:rFonts w:asciiTheme="majorBidi" w:hAnsiTheme="majorBidi" w:cstheme="majorBidi"/>
        </w:rPr>
        <w:t>Girotra</w:t>
      </w:r>
      <w:proofErr w:type="spellEnd"/>
      <w:r w:rsidRPr="008B4124">
        <w:rPr>
          <w:rFonts w:asciiTheme="majorBidi" w:hAnsiTheme="majorBidi" w:cstheme="majorBidi"/>
        </w:rPr>
        <w:t>,</w:t>
      </w:r>
      <w:r w:rsidR="00957B04" w:rsidRPr="008B4124">
        <w:rPr>
          <w:rFonts w:asciiTheme="majorBidi" w:hAnsiTheme="majorBidi" w:cstheme="majorBidi"/>
        </w:rPr>
        <w:t xml:space="preserve"> Acute coronary syndrome. J Intensive Care Med</w:t>
      </w:r>
      <w:r w:rsidRPr="008B4124">
        <w:rPr>
          <w:rFonts w:asciiTheme="majorBidi" w:hAnsiTheme="majorBidi" w:cstheme="majorBidi"/>
        </w:rPr>
        <w:t>.vol.30</w:t>
      </w:r>
      <w:proofErr w:type="gramStart"/>
      <w:r w:rsidRPr="008B4124">
        <w:rPr>
          <w:rFonts w:asciiTheme="majorBidi" w:hAnsiTheme="majorBidi" w:cstheme="majorBidi"/>
        </w:rPr>
        <w:t>,pp.</w:t>
      </w:r>
      <w:r w:rsidR="00957B04" w:rsidRPr="008B4124">
        <w:rPr>
          <w:rFonts w:asciiTheme="majorBidi" w:hAnsiTheme="majorBidi" w:cstheme="majorBidi"/>
        </w:rPr>
        <w:t>186</w:t>
      </w:r>
      <w:proofErr w:type="gramEnd"/>
      <w:r w:rsidR="00957B04" w:rsidRPr="008B4124">
        <w:rPr>
          <w:rFonts w:asciiTheme="majorBidi" w:hAnsiTheme="majorBidi" w:cstheme="majorBidi"/>
        </w:rPr>
        <w:t>–200</w:t>
      </w:r>
      <w:r w:rsidRPr="008B4124">
        <w:rPr>
          <w:rFonts w:asciiTheme="majorBidi" w:hAnsiTheme="majorBidi" w:cstheme="majorBidi"/>
        </w:rPr>
        <w:t>,2015</w:t>
      </w:r>
      <w:r w:rsidR="00957B04" w:rsidRPr="008B4124">
        <w:rPr>
          <w:rFonts w:asciiTheme="majorBidi" w:hAnsiTheme="majorBidi" w:cstheme="majorBidi"/>
        </w:rPr>
        <w:t>.</w:t>
      </w:r>
    </w:p>
    <w:p w14:paraId="253E2DDB" w14:textId="2C77900E" w:rsidR="00957B04" w:rsidRPr="008B4124" w:rsidRDefault="00957B0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EM.Antman</w:t>
      </w:r>
      <w:proofErr w:type="spellEnd"/>
      <w:r w:rsidRPr="008B4124">
        <w:rPr>
          <w:rFonts w:asciiTheme="majorBidi" w:hAnsiTheme="majorBidi" w:cstheme="majorBidi"/>
        </w:rPr>
        <w:t xml:space="preserve">, </w:t>
      </w:r>
      <w:proofErr w:type="spellStart"/>
      <w:r w:rsidRPr="008B4124">
        <w:rPr>
          <w:rFonts w:asciiTheme="majorBidi" w:hAnsiTheme="majorBidi" w:cstheme="majorBidi"/>
        </w:rPr>
        <w:t>M.Cohen</w:t>
      </w:r>
      <w:proofErr w:type="spellEnd"/>
      <w:r w:rsidRPr="008B4124">
        <w:rPr>
          <w:rFonts w:asciiTheme="majorBidi" w:hAnsiTheme="majorBidi" w:cstheme="majorBidi"/>
        </w:rPr>
        <w:t xml:space="preserve">, </w:t>
      </w:r>
      <w:proofErr w:type="spellStart"/>
      <w:r w:rsidRPr="008B4124">
        <w:rPr>
          <w:rFonts w:asciiTheme="majorBidi" w:hAnsiTheme="majorBidi" w:cstheme="majorBidi"/>
        </w:rPr>
        <w:t>PJ.Bernink.TheTIMI</w:t>
      </w:r>
      <w:proofErr w:type="spellEnd"/>
      <w:r w:rsidRPr="008B4124">
        <w:rPr>
          <w:rFonts w:asciiTheme="majorBidi" w:hAnsiTheme="majorBidi" w:cstheme="majorBidi"/>
        </w:rPr>
        <w:t xml:space="preserve"> risk score for unstable angina/non-ST elevation MI: A method </w:t>
      </w:r>
      <w:proofErr w:type="spellStart"/>
      <w:r w:rsidRPr="008B4124">
        <w:rPr>
          <w:rFonts w:asciiTheme="majorBidi" w:hAnsiTheme="majorBidi" w:cstheme="majorBidi"/>
        </w:rPr>
        <w:t>forprognostication</w:t>
      </w:r>
      <w:proofErr w:type="spellEnd"/>
      <w:r w:rsidRPr="008B4124">
        <w:rPr>
          <w:rFonts w:asciiTheme="majorBidi" w:hAnsiTheme="majorBidi" w:cstheme="majorBidi"/>
        </w:rPr>
        <w:t xml:space="preserve"> and therapeutic</w:t>
      </w:r>
      <w:r w:rsidRPr="008B4124">
        <w:rPr>
          <w:rFonts w:asciiTheme="majorBidi" w:hAnsiTheme="majorBidi" w:cstheme="majorBidi"/>
        </w:rPr>
        <w:tab/>
        <w:t>decision</w:t>
      </w:r>
      <w:r w:rsidRPr="008B4124">
        <w:rPr>
          <w:rFonts w:asciiTheme="majorBidi" w:hAnsiTheme="majorBidi" w:cstheme="majorBidi"/>
        </w:rPr>
        <w:tab/>
        <w:t>making.</w:t>
      </w:r>
      <w:r w:rsidR="00D84EB3" w:rsidRPr="008B4124">
        <w:rPr>
          <w:rFonts w:asciiTheme="majorBidi" w:hAnsiTheme="majorBidi" w:cstheme="majorBidi"/>
        </w:rPr>
        <w:t xml:space="preserve"> </w:t>
      </w:r>
      <w:r w:rsidRPr="008B4124">
        <w:rPr>
          <w:rFonts w:asciiTheme="majorBidi" w:hAnsiTheme="majorBidi" w:cstheme="majorBidi"/>
        </w:rPr>
        <w:t>JAMA.vol.284,pp.835–842,2000</w:t>
      </w:r>
    </w:p>
    <w:p w14:paraId="75798444" w14:textId="2A3F95D8" w:rsidR="00957B04" w:rsidRPr="008B4124" w:rsidRDefault="00755FD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JP.</w:t>
      </w:r>
      <w:r w:rsidR="00957B04" w:rsidRPr="008B4124">
        <w:rPr>
          <w:rFonts w:asciiTheme="majorBidi" w:hAnsiTheme="majorBidi" w:cstheme="majorBidi"/>
        </w:rPr>
        <w:t>Collet</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H.</w:t>
      </w:r>
      <w:r w:rsidR="00957B04" w:rsidRPr="008B4124">
        <w:rPr>
          <w:rFonts w:asciiTheme="majorBidi" w:hAnsiTheme="majorBidi" w:cstheme="majorBidi"/>
        </w:rPr>
        <w:t>Thiele</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E.</w:t>
      </w:r>
      <w:r w:rsidR="00957B04" w:rsidRPr="008B4124">
        <w:rPr>
          <w:rFonts w:asciiTheme="majorBidi" w:hAnsiTheme="majorBidi" w:cstheme="majorBidi"/>
        </w:rPr>
        <w:t>Barbato</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O.</w:t>
      </w:r>
      <w:r w:rsidR="00957B04" w:rsidRPr="008B4124">
        <w:rPr>
          <w:rFonts w:asciiTheme="majorBidi" w:hAnsiTheme="majorBidi" w:cstheme="majorBidi"/>
        </w:rPr>
        <w:t>Barthélémy</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J.</w:t>
      </w:r>
      <w:r w:rsidR="00957B04" w:rsidRPr="008B4124">
        <w:rPr>
          <w:rFonts w:asciiTheme="majorBidi" w:hAnsiTheme="majorBidi" w:cstheme="majorBidi"/>
        </w:rPr>
        <w:t>Bauersachs</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DL.</w:t>
      </w:r>
      <w:r w:rsidR="00957B04" w:rsidRPr="008B4124">
        <w:rPr>
          <w:rFonts w:asciiTheme="majorBidi" w:hAnsiTheme="majorBidi" w:cstheme="majorBidi"/>
        </w:rPr>
        <w:t>Bhatt</w:t>
      </w:r>
      <w:proofErr w:type="spellEnd"/>
      <w:r w:rsidR="00957B04" w:rsidRPr="008B4124">
        <w:rPr>
          <w:rFonts w:asciiTheme="majorBidi" w:hAnsiTheme="majorBidi" w:cstheme="majorBidi"/>
        </w:rPr>
        <w:t>, et al. ESC Scientific Document Group. 2020 ESC Guidelines for the management of acute coronary syndromes in patients presenting without persistent ST-segment elevation. </w:t>
      </w:r>
      <w:proofErr w:type="spellStart"/>
      <w:r w:rsidR="00957B04" w:rsidRPr="008B4124">
        <w:rPr>
          <w:rFonts w:asciiTheme="majorBidi" w:hAnsiTheme="majorBidi" w:cstheme="majorBidi"/>
          <w:i/>
          <w:iCs/>
        </w:rPr>
        <w:t>Eur</w:t>
      </w:r>
      <w:proofErr w:type="spellEnd"/>
      <w:r w:rsidR="00957B04" w:rsidRPr="008B4124">
        <w:rPr>
          <w:rFonts w:asciiTheme="majorBidi" w:hAnsiTheme="majorBidi" w:cstheme="majorBidi"/>
          <w:i/>
          <w:iCs/>
        </w:rPr>
        <w:t xml:space="preserve"> Heart J. </w:t>
      </w:r>
      <w:r w:rsidRPr="008B4124">
        <w:rPr>
          <w:rFonts w:asciiTheme="majorBidi" w:hAnsiTheme="majorBidi" w:cstheme="majorBidi"/>
        </w:rPr>
        <w:t>.vol.42</w:t>
      </w:r>
      <w:proofErr w:type="gramStart"/>
      <w:r w:rsidRPr="008B4124">
        <w:rPr>
          <w:rFonts w:asciiTheme="majorBidi" w:hAnsiTheme="majorBidi" w:cstheme="majorBidi"/>
        </w:rPr>
        <w:t>,pp.</w:t>
      </w:r>
      <w:r w:rsidR="00957B04" w:rsidRPr="008B4124">
        <w:rPr>
          <w:rFonts w:asciiTheme="majorBidi" w:hAnsiTheme="majorBidi" w:cstheme="majorBidi"/>
        </w:rPr>
        <w:t>1289</w:t>
      </w:r>
      <w:proofErr w:type="gramEnd"/>
      <w:r w:rsidR="00957B04" w:rsidRPr="008B4124">
        <w:rPr>
          <w:rFonts w:asciiTheme="majorBidi" w:hAnsiTheme="majorBidi" w:cstheme="majorBidi"/>
        </w:rPr>
        <w:t>–367</w:t>
      </w:r>
      <w:r w:rsidRPr="008B4124">
        <w:rPr>
          <w:rFonts w:asciiTheme="majorBidi" w:hAnsiTheme="majorBidi" w:cstheme="majorBidi"/>
        </w:rPr>
        <w:t>,2021</w:t>
      </w:r>
      <w:r w:rsidR="00957B04" w:rsidRPr="008B4124">
        <w:rPr>
          <w:rFonts w:asciiTheme="majorBidi" w:hAnsiTheme="majorBidi" w:cstheme="majorBidi"/>
        </w:rPr>
        <w:t xml:space="preserve">. </w:t>
      </w:r>
    </w:p>
    <w:p w14:paraId="51D41039" w14:textId="380B9096" w:rsidR="00957B04" w:rsidRPr="008B4124" w:rsidRDefault="00755FD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X.</w:t>
      </w:r>
      <w:r w:rsidR="00957B04" w:rsidRPr="008B4124">
        <w:rPr>
          <w:rFonts w:asciiTheme="majorBidi" w:hAnsiTheme="majorBidi" w:cstheme="majorBidi"/>
        </w:rPr>
        <w:t>Zhang</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X.</w:t>
      </w:r>
      <w:r w:rsidR="00957B04" w:rsidRPr="008B4124">
        <w:rPr>
          <w:rFonts w:asciiTheme="majorBidi" w:hAnsiTheme="majorBidi" w:cstheme="majorBidi"/>
        </w:rPr>
        <w:t>Lv</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X.</w:t>
      </w:r>
      <w:r w:rsidR="00957B04" w:rsidRPr="008B4124">
        <w:rPr>
          <w:rFonts w:asciiTheme="majorBidi" w:hAnsiTheme="majorBidi" w:cstheme="majorBidi"/>
        </w:rPr>
        <w:t>Li</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Y.</w:t>
      </w:r>
      <w:r w:rsidR="00957B04" w:rsidRPr="008B4124">
        <w:rPr>
          <w:rFonts w:asciiTheme="majorBidi" w:hAnsiTheme="majorBidi" w:cstheme="majorBidi"/>
        </w:rPr>
        <w:t>Wang</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HY.</w:t>
      </w:r>
      <w:r w:rsidR="00957B04" w:rsidRPr="008B4124">
        <w:rPr>
          <w:rFonts w:asciiTheme="majorBidi" w:hAnsiTheme="majorBidi" w:cstheme="majorBidi"/>
        </w:rPr>
        <w:t>Lin</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J.</w:t>
      </w:r>
      <w:r w:rsidR="00957B04" w:rsidRPr="008B4124">
        <w:rPr>
          <w:rFonts w:asciiTheme="majorBidi" w:hAnsiTheme="majorBidi" w:cstheme="majorBidi"/>
        </w:rPr>
        <w:t>Zhang</w:t>
      </w:r>
      <w:proofErr w:type="spellEnd"/>
      <w:r w:rsidR="00957B04" w:rsidRPr="008B4124">
        <w:rPr>
          <w:rFonts w:asciiTheme="majorBidi" w:hAnsiTheme="majorBidi" w:cstheme="majorBidi"/>
        </w:rPr>
        <w:t xml:space="preserve">, et al. </w:t>
      </w:r>
      <w:proofErr w:type="spellStart"/>
      <w:r w:rsidR="00957B04" w:rsidRPr="008B4124">
        <w:rPr>
          <w:rFonts w:asciiTheme="majorBidi" w:hAnsiTheme="majorBidi" w:cstheme="majorBidi"/>
        </w:rPr>
        <w:t>Dysregulated</w:t>
      </w:r>
      <w:proofErr w:type="spellEnd"/>
      <w:r w:rsidR="00957B04" w:rsidRPr="008B4124">
        <w:rPr>
          <w:rFonts w:asciiTheme="majorBidi" w:hAnsiTheme="majorBidi" w:cstheme="majorBidi"/>
        </w:rPr>
        <w:t xml:space="preserve"> circulating SOCS3 and </w:t>
      </w:r>
      <w:proofErr w:type="spellStart"/>
      <w:r w:rsidR="00957B04" w:rsidRPr="008B4124">
        <w:rPr>
          <w:rFonts w:asciiTheme="majorBidi" w:hAnsiTheme="majorBidi" w:cstheme="majorBidi"/>
        </w:rPr>
        <w:t>haptoglobin</w:t>
      </w:r>
      <w:proofErr w:type="spellEnd"/>
      <w:r w:rsidR="00957B04" w:rsidRPr="008B4124">
        <w:rPr>
          <w:rFonts w:asciiTheme="majorBidi" w:hAnsiTheme="majorBidi" w:cstheme="majorBidi"/>
        </w:rPr>
        <w:t xml:space="preserve"> expression associated with stable coronary artery disease and acute coronary syndrome: An integrated study based on bioinformatics analysis and case-control </w:t>
      </w:r>
      <w:r w:rsidR="00957B04" w:rsidRPr="008B4124">
        <w:rPr>
          <w:rFonts w:asciiTheme="majorBidi" w:hAnsiTheme="majorBidi" w:cstheme="majorBidi"/>
        </w:rPr>
        <w:lastRenderedPageBreak/>
        <w:t>validation. </w:t>
      </w:r>
      <w:r w:rsidR="00957B04" w:rsidRPr="008B4124">
        <w:rPr>
          <w:rFonts w:asciiTheme="majorBidi" w:hAnsiTheme="majorBidi" w:cstheme="majorBidi"/>
          <w:i/>
          <w:iCs/>
        </w:rPr>
        <w:t>Anatol</w:t>
      </w:r>
      <w:r w:rsidRPr="008B4124">
        <w:rPr>
          <w:rFonts w:asciiTheme="majorBidi" w:hAnsiTheme="majorBidi" w:cstheme="majorBidi"/>
          <w:i/>
          <w:iCs/>
        </w:rPr>
        <w:t>J</w:t>
      </w:r>
      <w:r w:rsidR="00957B04" w:rsidRPr="008B4124">
        <w:rPr>
          <w:rFonts w:asciiTheme="majorBidi" w:hAnsiTheme="majorBidi" w:cstheme="majorBidi"/>
          <w:i/>
          <w:iCs/>
        </w:rPr>
        <w:t>Cardiol</w:t>
      </w:r>
      <w:r w:rsidRPr="008B4124">
        <w:rPr>
          <w:rFonts w:asciiTheme="majorBidi" w:hAnsiTheme="majorBidi" w:cstheme="majorBidi"/>
        </w:rPr>
        <w:t>.vol.</w:t>
      </w:r>
      <w:r w:rsidR="00957B04" w:rsidRPr="008B4124">
        <w:rPr>
          <w:rFonts w:asciiTheme="majorBidi" w:hAnsiTheme="majorBidi" w:cstheme="majorBidi"/>
        </w:rPr>
        <w:t>24</w:t>
      </w:r>
      <w:proofErr w:type="gramStart"/>
      <w:r w:rsidRPr="008B4124">
        <w:rPr>
          <w:rFonts w:asciiTheme="majorBidi" w:hAnsiTheme="majorBidi" w:cstheme="majorBidi"/>
        </w:rPr>
        <w:t>,pp.</w:t>
      </w:r>
      <w:r w:rsidR="00957B04" w:rsidRPr="008B4124">
        <w:rPr>
          <w:rFonts w:asciiTheme="majorBidi" w:hAnsiTheme="majorBidi" w:cstheme="majorBidi"/>
        </w:rPr>
        <w:t>160</w:t>
      </w:r>
      <w:proofErr w:type="gramEnd"/>
      <w:r w:rsidR="00957B04" w:rsidRPr="008B4124">
        <w:rPr>
          <w:rFonts w:asciiTheme="majorBidi" w:hAnsiTheme="majorBidi" w:cstheme="majorBidi"/>
        </w:rPr>
        <w:t>–74.</w:t>
      </w:r>
      <w:r w:rsidRPr="008B4124">
        <w:rPr>
          <w:rFonts w:asciiTheme="majorBidi" w:hAnsiTheme="majorBidi" w:cstheme="majorBidi"/>
        </w:rPr>
        <w:t>,2020</w:t>
      </w:r>
      <w:r w:rsidR="00957B04" w:rsidRPr="008B4124">
        <w:rPr>
          <w:rFonts w:asciiTheme="majorBidi" w:hAnsiTheme="majorBidi" w:cstheme="majorBidi"/>
        </w:rPr>
        <w:t>. </w:t>
      </w:r>
    </w:p>
    <w:p w14:paraId="4F7F4DB9" w14:textId="02743785" w:rsidR="00957B04" w:rsidRPr="008B4124" w:rsidRDefault="00755FD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H.</w:t>
      </w:r>
      <w:r w:rsidR="00957B04" w:rsidRPr="008B4124">
        <w:rPr>
          <w:rFonts w:asciiTheme="majorBidi" w:hAnsiTheme="majorBidi" w:cstheme="majorBidi"/>
        </w:rPr>
        <w:t>Kawashima</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K.</w:t>
      </w:r>
      <w:r w:rsidR="00957B04" w:rsidRPr="008B4124">
        <w:rPr>
          <w:rFonts w:asciiTheme="majorBidi" w:hAnsiTheme="majorBidi" w:cstheme="majorBidi"/>
        </w:rPr>
        <w:t>Takahashi</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M.</w:t>
      </w:r>
      <w:r w:rsidR="00957B04" w:rsidRPr="008B4124">
        <w:rPr>
          <w:rFonts w:asciiTheme="majorBidi" w:hAnsiTheme="majorBidi" w:cstheme="majorBidi"/>
        </w:rPr>
        <w:t>Ono</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H.</w:t>
      </w:r>
      <w:r w:rsidR="00957B04" w:rsidRPr="008B4124">
        <w:rPr>
          <w:rFonts w:asciiTheme="majorBidi" w:hAnsiTheme="majorBidi" w:cstheme="majorBidi"/>
        </w:rPr>
        <w:t>Hara</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R.</w:t>
      </w:r>
      <w:r w:rsidR="00957B04" w:rsidRPr="008B4124">
        <w:rPr>
          <w:rFonts w:asciiTheme="majorBidi" w:hAnsiTheme="majorBidi" w:cstheme="majorBidi"/>
        </w:rPr>
        <w:t>Wang</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C.</w:t>
      </w:r>
      <w:r w:rsidR="00957B04" w:rsidRPr="008B4124">
        <w:rPr>
          <w:rFonts w:asciiTheme="majorBidi" w:hAnsiTheme="majorBidi" w:cstheme="majorBidi"/>
        </w:rPr>
        <w:t>Gao</w:t>
      </w:r>
      <w:proofErr w:type="spellEnd"/>
      <w:r w:rsidR="00957B04" w:rsidRPr="008B4124">
        <w:rPr>
          <w:rFonts w:asciiTheme="majorBidi" w:hAnsiTheme="majorBidi" w:cstheme="majorBidi"/>
        </w:rPr>
        <w:t xml:space="preserve">, et al. Mortality 10 Years </w:t>
      </w:r>
      <w:proofErr w:type="gramStart"/>
      <w:r w:rsidR="00957B04" w:rsidRPr="008B4124">
        <w:rPr>
          <w:rFonts w:asciiTheme="majorBidi" w:hAnsiTheme="majorBidi" w:cstheme="majorBidi"/>
        </w:rPr>
        <w:t>After</w:t>
      </w:r>
      <w:proofErr w:type="gramEnd"/>
      <w:r w:rsidR="00957B04" w:rsidRPr="008B4124">
        <w:rPr>
          <w:rFonts w:asciiTheme="majorBidi" w:hAnsiTheme="majorBidi" w:cstheme="majorBidi"/>
        </w:rPr>
        <w:t xml:space="preserve"> Percutaneous or Surgical Revascularization in Patients With Total Coronary Artery Occlusions. </w:t>
      </w:r>
      <w:r w:rsidR="00957B04" w:rsidRPr="008B4124">
        <w:rPr>
          <w:rFonts w:asciiTheme="majorBidi" w:hAnsiTheme="majorBidi" w:cstheme="majorBidi"/>
          <w:i/>
          <w:iCs/>
        </w:rPr>
        <w:t xml:space="preserve">J Am </w:t>
      </w:r>
      <w:proofErr w:type="spellStart"/>
      <w:r w:rsidR="00957B04" w:rsidRPr="008B4124">
        <w:rPr>
          <w:rFonts w:asciiTheme="majorBidi" w:hAnsiTheme="majorBidi" w:cstheme="majorBidi"/>
          <w:i/>
          <w:iCs/>
        </w:rPr>
        <w:t>Coll</w:t>
      </w:r>
      <w:proofErr w:type="spellEnd"/>
      <w:r w:rsidR="00957B04" w:rsidRPr="008B4124">
        <w:rPr>
          <w:rFonts w:asciiTheme="majorBidi" w:hAnsiTheme="majorBidi" w:cstheme="majorBidi"/>
          <w:i/>
          <w:iCs/>
        </w:rPr>
        <w:t xml:space="preserve"> Cardiol</w:t>
      </w:r>
      <w:r w:rsidRPr="008B4124">
        <w:rPr>
          <w:rFonts w:asciiTheme="majorBidi" w:hAnsiTheme="majorBidi" w:cstheme="majorBidi"/>
        </w:rPr>
        <w:t>.vol.</w:t>
      </w:r>
      <w:r w:rsidR="00957B04" w:rsidRPr="008B4124">
        <w:rPr>
          <w:rFonts w:asciiTheme="majorBidi" w:hAnsiTheme="majorBidi" w:cstheme="majorBidi"/>
        </w:rPr>
        <w:t>7</w:t>
      </w:r>
      <w:r w:rsidRPr="008B4124">
        <w:rPr>
          <w:rFonts w:asciiTheme="majorBidi" w:hAnsiTheme="majorBidi" w:cstheme="majorBidi"/>
        </w:rPr>
        <w:t>7</w:t>
      </w:r>
      <w:proofErr w:type="gramStart"/>
      <w:r w:rsidRPr="008B4124">
        <w:rPr>
          <w:rFonts w:asciiTheme="majorBidi" w:hAnsiTheme="majorBidi" w:cstheme="majorBidi"/>
        </w:rPr>
        <w:t>,pp.</w:t>
      </w:r>
      <w:r w:rsidR="00957B04" w:rsidRPr="008B4124">
        <w:rPr>
          <w:rFonts w:asciiTheme="majorBidi" w:hAnsiTheme="majorBidi" w:cstheme="majorBidi"/>
        </w:rPr>
        <w:t>529</w:t>
      </w:r>
      <w:proofErr w:type="gramEnd"/>
      <w:r w:rsidR="00957B04" w:rsidRPr="008B4124">
        <w:rPr>
          <w:rFonts w:asciiTheme="majorBidi" w:hAnsiTheme="majorBidi" w:cstheme="majorBidi"/>
        </w:rPr>
        <w:t>–40</w:t>
      </w:r>
      <w:r w:rsidRPr="008B4124">
        <w:rPr>
          <w:rFonts w:asciiTheme="majorBidi" w:hAnsiTheme="majorBidi" w:cstheme="majorBidi"/>
        </w:rPr>
        <w:t>,2021</w:t>
      </w:r>
      <w:r w:rsidR="00957B04" w:rsidRPr="008B4124">
        <w:rPr>
          <w:rFonts w:asciiTheme="majorBidi" w:hAnsiTheme="majorBidi" w:cstheme="majorBidi"/>
        </w:rPr>
        <w:t xml:space="preserve">. </w:t>
      </w:r>
    </w:p>
    <w:p w14:paraId="61D58513" w14:textId="6F9F0641" w:rsidR="00957B04" w:rsidRPr="008B4124" w:rsidRDefault="00A50721"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R.</w:t>
      </w:r>
      <w:r w:rsidR="00957B04" w:rsidRPr="008B4124">
        <w:rPr>
          <w:rFonts w:asciiTheme="majorBidi" w:hAnsiTheme="majorBidi" w:cstheme="majorBidi"/>
        </w:rPr>
        <w:t>Rahmani</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B.</w:t>
      </w:r>
      <w:r w:rsidR="00957B04" w:rsidRPr="008B4124">
        <w:rPr>
          <w:rFonts w:asciiTheme="majorBidi" w:hAnsiTheme="majorBidi" w:cstheme="majorBidi"/>
        </w:rPr>
        <w:t>Majidi</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H.</w:t>
      </w:r>
      <w:r w:rsidR="00957B04" w:rsidRPr="008B4124">
        <w:rPr>
          <w:rFonts w:asciiTheme="majorBidi" w:hAnsiTheme="majorBidi" w:cstheme="majorBidi"/>
        </w:rPr>
        <w:t>Ariannejad</w:t>
      </w:r>
      <w:proofErr w:type="spellEnd"/>
      <w:r w:rsidR="00957B04" w:rsidRPr="008B4124">
        <w:rPr>
          <w:rFonts w:asciiTheme="majorBidi" w:hAnsiTheme="majorBidi" w:cstheme="majorBidi"/>
        </w:rPr>
        <w:t xml:space="preserve">, </w:t>
      </w:r>
      <w:r w:rsidRPr="008B4124">
        <w:rPr>
          <w:rFonts w:asciiTheme="majorBidi" w:hAnsiTheme="majorBidi" w:cstheme="majorBidi"/>
        </w:rPr>
        <w:t xml:space="preserve">A. </w:t>
      </w:r>
      <w:proofErr w:type="spellStart"/>
      <w:r w:rsidR="00957B04" w:rsidRPr="008B4124">
        <w:rPr>
          <w:rFonts w:asciiTheme="majorBidi" w:hAnsiTheme="majorBidi" w:cstheme="majorBidi"/>
        </w:rPr>
        <w:t>Shafiee</w:t>
      </w:r>
      <w:proofErr w:type="spellEnd"/>
      <w:r w:rsidRPr="008B4124">
        <w:rPr>
          <w:rFonts w:asciiTheme="majorBidi" w:hAnsiTheme="majorBidi" w:cstheme="majorBidi"/>
        </w:rPr>
        <w:t>,</w:t>
      </w:r>
      <w:r w:rsidR="00957B04" w:rsidRPr="008B4124">
        <w:rPr>
          <w:rFonts w:asciiTheme="majorBidi" w:hAnsiTheme="majorBidi" w:cstheme="majorBidi"/>
        </w:rPr>
        <w:t xml:space="preserve"> The Value of the GRACE Score for Predicting the SYNTAX Score in Patients with Unstable Angina/Non-ST Elevation Myocardial Infarction. </w:t>
      </w:r>
      <w:proofErr w:type="spellStart"/>
      <w:r w:rsidR="00957B04" w:rsidRPr="008B4124">
        <w:rPr>
          <w:rFonts w:asciiTheme="majorBidi" w:hAnsiTheme="majorBidi" w:cstheme="majorBidi"/>
          <w:i/>
          <w:iCs/>
        </w:rPr>
        <w:t>Cardiovasc</w:t>
      </w:r>
      <w:proofErr w:type="spellEnd"/>
      <w:r w:rsidR="00957B04" w:rsidRPr="008B4124">
        <w:rPr>
          <w:rFonts w:asciiTheme="majorBidi" w:hAnsiTheme="majorBidi" w:cstheme="majorBidi"/>
          <w:i/>
          <w:iCs/>
        </w:rPr>
        <w:t xml:space="preserve"> </w:t>
      </w:r>
      <w:proofErr w:type="spellStart"/>
      <w:r w:rsidR="00957B04" w:rsidRPr="008B4124">
        <w:rPr>
          <w:rFonts w:asciiTheme="majorBidi" w:hAnsiTheme="majorBidi" w:cstheme="majorBidi"/>
          <w:i/>
          <w:iCs/>
        </w:rPr>
        <w:t>Revasc</w:t>
      </w:r>
      <w:proofErr w:type="spellEnd"/>
      <w:r w:rsidR="00957B04" w:rsidRPr="008B4124">
        <w:rPr>
          <w:rFonts w:asciiTheme="majorBidi" w:hAnsiTheme="majorBidi" w:cstheme="majorBidi"/>
          <w:i/>
          <w:iCs/>
        </w:rPr>
        <w:t xml:space="preserve"> Med</w:t>
      </w:r>
      <w:r w:rsidRPr="008B4124">
        <w:rPr>
          <w:rFonts w:asciiTheme="majorBidi" w:hAnsiTheme="majorBidi" w:cstheme="majorBidi"/>
        </w:rPr>
        <w:t>.vol.21</w:t>
      </w:r>
      <w:proofErr w:type="gramStart"/>
      <w:r w:rsidRPr="008B4124">
        <w:rPr>
          <w:rFonts w:asciiTheme="majorBidi" w:hAnsiTheme="majorBidi" w:cstheme="majorBidi"/>
        </w:rPr>
        <w:t>,pp.</w:t>
      </w:r>
      <w:r w:rsidR="00957B04" w:rsidRPr="008B4124">
        <w:rPr>
          <w:rFonts w:asciiTheme="majorBidi" w:hAnsiTheme="majorBidi" w:cstheme="majorBidi"/>
        </w:rPr>
        <w:t>514</w:t>
      </w:r>
      <w:proofErr w:type="gramEnd"/>
      <w:r w:rsidR="00957B04" w:rsidRPr="008B4124">
        <w:rPr>
          <w:rFonts w:asciiTheme="majorBidi" w:hAnsiTheme="majorBidi" w:cstheme="majorBidi"/>
        </w:rPr>
        <w:t>–7</w:t>
      </w:r>
      <w:r w:rsidRPr="008B4124">
        <w:rPr>
          <w:rFonts w:asciiTheme="majorBidi" w:hAnsiTheme="majorBidi" w:cstheme="majorBidi"/>
        </w:rPr>
        <w:t>,2020</w:t>
      </w:r>
      <w:r w:rsidR="00957B04" w:rsidRPr="008B4124">
        <w:rPr>
          <w:rFonts w:asciiTheme="majorBidi" w:hAnsiTheme="majorBidi" w:cstheme="majorBidi"/>
        </w:rPr>
        <w:t xml:space="preserve">. </w:t>
      </w:r>
    </w:p>
    <w:p w14:paraId="26E362D8" w14:textId="0B8D46FD" w:rsidR="00957B04" w:rsidRPr="008B4124" w:rsidRDefault="00A50721"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P.</w:t>
      </w:r>
      <w:r w:rsidR="00957B04" w:rsidRPr="008B4124">
        <w:rPr>
          <w:rFonts w:asciiTheme="majorBidi" w:hAnsiTheme="majorBidi" w:cstheme="majorBidi"/>
        </w:rPr>
        <w:t>Chichareon</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D.</w:t>
      </w:r>
      <w:r w:rsidR="00957B04" w:rsidRPr="008B4124">
        <w:rPr>
          <w:rFonts w:asciiTheme="majorBidi" w:hAnsiTheme="majorBidi" w:cstheme="majorBidi"/>
        </w:rPr>
        <w:t>van</w:t>
      </w:r>
      <w:proofErr w:type="spellEnd"/>
      <w:r w:rsidR="00957B04" w:rsidRPr="008B4124">
        <w:rPr>
          <w:rFonts w:asciiTheme="majorBidi" w:hAnsiTheme="majorBidi" w:cstheme="majorBidi"/>
        </w:rPr>
        <w:t xml:space="preserve"> </w:t>
      </w:r>
      <w:proofErr w:type="spellStart"/>
      <w:r w:rsidR="00957B04" w:rsidRPr="008B4124">
        <w:rPr>
          <w:rFonts w:asciiTheme="majorBidi" w:hAnsiTheme="majorBidi" w:cstheme="majorBidi"/>
        </w:rPr>
        <w:t>Klaveren</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R.</w:t>
      </w:r>
      <w:r w:rsidR="00957B04" w:rsidRPr="008B4124">
        <w:rPr>
          <w:rFonts w:asciiTheme="majorBidi" w:hAnsiTheme="majorBidi" w:cstheme="majorBidi"/>
        </w:rPr>
        <w:t>Modolo</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N.</w:t>
      </w:r>
      <w:r w:rsidR="00957B04" w:rsidRPr="008B4124">
        <w:rPr>
          <w:rFonts w:asciiTheme="majorBidi" w:hAnsiTheme="majorBidi" w:cstheme="majorBidi"/>
        </w:rPr>
        <w:t>Kogame</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K.</w:t>
      </w:r>
      <w:r w:rsidR="00957B04" w:rsidRPr="008B4124">
        <w:rPr>
          <w:rFonts w:asciiTheme="majorBidi" w:hAnsiTheme="majorBidi" w:cstheme="majorBidi"/>
        </w:rPr>
        <w:t>Takahashi</w:t>
      </w:r>
      <w:proofErr w:type="spellEnd"/>
      <w:r w:rsidR="00957B04" w:rsidRPr="008B4124">
        <w:rPr>
          <w:rFonts w:asciiTheme="majorBidi" w:hAnsiTheme="majorBidi" w:cstheme="majorBidi"/>
        </w:rPr>
        <w:t xml:space="preserve">, </w:t>
      </w:r>
      <w:proofErr w:type="spellStart"/>
      <w:r w:rsidRPr="008B4124">
        <w:rPr>
          <w:rFonts w:asciiTheme="majorBidi" w:hAnsiTheme="majorBidi" w:cstheme="majorBidi"/>
        </w:rPr>
        <w:t>CC.</w:t>
      </w:r>
      <w:r w:rsidR="00957B04" w:rsidRPr="008B4124">
        <w:rPr>
          <w:rFonts w:asciiTheme="majorBidi" w:hAnsiTheme="majorBidi" w:cstheme="majorBidi"/>
        </w:rPr>
        <w:t>Chang</w:t>
      </w:r>
      <w:proofErr w:type="spellEnd"/>
      <w:r w:rsidR="00957B04" w:rsidRPr="008B4124">
        <w:rPr>
          <w:rFonts w:asciiTheme="majorBidi" w:hAnsiTheme="majorBidi" w:cstheme="majorBidi"/>
        </w:rPr>
        <w:t>, et al. Predicting 2-year all-cause mortality after contemporary PCI: Updating the logistic clinical SYNTAX score. </w:t>
      </w:r>
      <w:r w:rsidR="00957B04" w:rsidRPr="008B4124">
        <w:rPr>
          <w:rFonts w:asciiTheme="majorBidi" w:hAnsiTheme="majorBidi" w:cstheme="majorBidi"/>
          <w:i/>
          <w:iCs/>
        </w:rPr>
        <w:t xml:space="preserve">Catheter </w:t>
      </w:r>
      <w:proofErr w:type="spellStart"/>
      <w:r w:rsidR="00957B04" w:rsidRPr="008B4124">
        <w:rPr>
          <w:rFonts w:asciiTheme="majorBidi" w:hAnsiTheme="majorBidi" w:cstheme="majorBidi"/>
          <w:i/>
          <w:iCs/>
        </w:rPr>
        <w:t>Cardiovasc</w:t>
      </w:r>
      <w:proofErr w:type="spellEnd"/>
      <w:r w:rsidR="00957B04" w:rsidRPr="008B4124">
        <w:rPr>
          <w:rFonts w:asciiTheme="majorBidi" w:hAnsiTheme="majorBidi" w:cstheme="majorBidi"/>
          <w:i/>
          <w:iCs/>
        </w:rPr>
        <w:t xml:space="preserve"> </w:t>
      </w:r>
      <w:proofErr w:type="spellStart"/>
      <w:r w:rsidR="00957B04" w:rsidRPr="008B4124">
        <w:rPr>
          <w:rFonts w:asciiTheme="majorBidi" w:hAnsiTheme="majorBidi" w:cstheme="majorBidi"/>
          <w:i/>
          <w:iCs/>
        </w:rPr>
        <w:t>Interv</w:t>
      </w:r>
      <w:proofErr w:type="spellEnd"/>
      <w:r w:rsidR="00957B04" w:rsidRPr="008B4124">
        <w:rPr>
          <w:rFonts w:asciiTheme="majorBidi" w:hAnsiTheme="majorBidi" w:cstheme="majorBidi"/>
          <w:i/>
          <w:iCs/>
        </w:rPr>
        <w:t>.</w:t>
      </w:r>
      <w:r w:rsidR="00957B04" w:rsidRPr="008B4124">
        <w:rPr>
          <w:rFonts w:asciiTheme="majorBidi" w:hAnsiTheme="majorBidi" w:cstheme="majorBidi"/>
        </w:rPr>
        <w:t xml:space="preserve">  </w:t>
      </w:r>
      <w:proofErr w:type="gramStart"/>
      <w:r w:rsidR="00957B04" w:rsidRPr="008B4124">
        <w:rPr>
          <w:rFonts w:asciiTheme="majorBidi" w:hAnsiTheme="majorBidi" w:cstheme="majorBidi"/>
        </w:rPr>
        <w:t xml:space="preserve">Feb </w:t>
      </w:r>
      <w:r w:rsidRPr="008B4124">
        <w:rPr>
          <w:rFonts w:asciiTheme="majorBidi" w:hAnsiTheme="majorBidi" w:cstheme="majorBidi"/>
        </w:rPr>
        <w:t>,pp.</w:t>
      </w:r>
      <w:r w:rsidR="00957B04" w:rsidRPr="008B4124">
        <w:rPr>
          <w:rFonts w:asciiTheme="majorBidi" w:hAnsiTheme="majorBidi" w:cstheme="majorBidi"/>
        </w:rPr>
        <w:t>4</w:t>
      </w:r>
      <w:proofErr w:type="gramEnd"/>
      <w:r w:rsidR="00957B04" w:rsidRPr="008B4124">
        <w:rPr>
          <w:rFonts w:asciiTheme="majorBidi" w:hAnsiTheme="majorBidi" w:cstheme="majorBidi"/>
        </w:rPr>
        <w:t xml:space="preserve">, </w:t>
      </w:r>
      <w:r w:rsidRPr="008B4124">
        <w:rPr>
          <w:rFonts w:asciiTheme="majorBidi" w:hAnsiTheme="majorBidi" w:cstheme="majorBidi"/>
        </w:rPr>
        <w:t>2021.</w:t>
      </w:r>
    </w:p>
    <w:p w14:paraId="30F6675E" w14:textId="45C3523C" w:rsidR="002F592C" w:rsidRPr="008B4124" w:rsidRDefault="00A50721" w:rsidP="00AC4D36">
      <w:pPr>
        <w:pStyle w:val="BodyText"/>
        <w:widowControl/>
        <w:numPr>
          <w:ilvl w:val="0"/>
          <w:numId w:val="6"/>
        </w:numPr>
        <w:ind w:left="540"/>
        <w:rPr>
          <w:rFonts w:asciiTheme="majorBidi" w:hAnsiTheme="majorBidi" w:cstheme="majorBidi"/>
        </w:rPr>
      </w:pPr>
      <w:r w:rsidRPr="008B4124">
        <w:rPr>
          <w:rFonts w:asciiTheme="majorBidi" w:hAnsiTheme="majorBidi" w:cstheme="majorBidi"/>
        </w:rPr>
        <w:t xml:space="preserve">A. </w:t>
      </w:r>
      <w:proofErr w:type="spellStart"/>
      <w:r w:rsidRPr="008B4124">
        <w:rPr>
          <w:rFonts w:asciiTheme="majorBidi" w:hAnsiTheme="majorBidi" w:cstheme="majorBidi"/>
        </w:rPr>
        <w:t>F.</w:t>
      </w:r>
      <w:r w:rsidR="002F592C" w:rsidRPr="008B4124">
        <w:rPr>
          <w:rFonts w:asciiTheme="majorBidi" w:hAnsiTheme="majorBidi" w:cstheme="majorBidi"/>
        </w:rPr>
        <w:t>Yu</w:t>
      </w:r>
      <w:proofErr w:type="spellEnd"/>
      <w:r w:rsidR="002F592C" w:rsidRPr="008B4124">
        <w:rPr>
          <w:rFonts w:asciiTheme="majorBidi" w:hAnsiTheme="majorBidi" w:cstheme="majorBidi"/>
        </w:rPr>
        <w:t xml:space="preserve">, </w:t>
      </w:r>
      <w:proofErr w:type="spellStart"/>
      <w:r w:rsidRPr="008B4124">
        <w:rPr>
          <w:rFonts w:asciiTheme="majorBidi" w:hAnsiTheme="majorBidi" w:cstheme="majorBidi"/>
        </w:rPr>
        <w:t>J.</w:t>
      </w:r>
      <w:r w:rsidR="002F592C" w:rsidRPr="008B4124">
        <w:rPr>
          <w:rFonts w:asciiTheme="majorBidi" w:hAnsiTheme="majorBidi" w:cstheme="majorBidi"/>
        </w:rPr>
        <w:t>Raikhelkar</w:t>
      </w:r>
      <w:proofErr w:type="spellEnd"/>
      <w:r w:rsidR="002F592C" w:rsidRPr="008B4124">
        <w:rPr>
          <w:rFonts w:asciiTheme="majorBidi" w:hAnsiTheme="majorBidi" w:cstheme="majorBidi"/>
        </w:rPr>
        <w:t xml:space="preserve">, </w:t>
      </w:r>
      <w:r w:rsidRPr="008B4124">
        <w:rPr>
          <w:rFonts w:asciiTheme="majorBidi" w:hAnsiTheme="majorBidi" w:cstheme="majorBidi"/>
        </w:rPr>
        <w:t xml:space="preserve">E. </w:t>
      </w:r>
      <w:proofErr w:type="spellStart"/>
      <w:r w:rsidRPr="008B4124">
        <w:rPr>
          <w:rFonts w:asciiTheme="majorBidi" w:hAnsiTheme="majorBidi" w:cstheme="majorBidi"/>
        </w:rPr>
        <w:t>C.</w:t>
      </w:r>
      <w:r w:rsidR="002F592C" w:rsidRPr="008B4124">
        <w:rPr>
          <w:rFonts w:asciiTheme="majorBidi" w:hAnsiTheme="majorBidi" w:cstheme="majorBidi"/>
        </w:rPr>
        <w:t>Zabor</w:t>
      </w:r>
      <w:proofErr w:type="spellEnd"/>
      <w:r w:rsidR="002F592C" w:rsidRPr="008B4124">
        <w:rPr>
          <w:rFonts w:asciiTheme="majorBidi" w:hAnsiTheme="majorBidi" w:cstheme="majorBidi"/>
        </w:rPr>
        <w:t>, et al. Two-dimensional speckle tracking echocardiography detects subclinical left ventricular systolic dysfunction among adult survivors of childhood, adolescent, and young adult cancer</w:t>
      </w:r>
      <w:r w:rsidRPr="008B4124">
        <w:rPr>
          <w:rFonts w:asciiTheme="majorBidi" w:hAnsiTheme="majorBidi" w:cstheme="majorBidi"/>
        </w:rPr>
        <w:t xml:space="preserve">. </w:t>
      </w:r>
      <w:proofErr w:type="spellStart"/>
      <w:r w:rsidRPr="008B4124">
        <w:rPr>
          <w:rFonts w:asciiTheme="majorBidi" w:hAnsiTheme="majorBidi" w:cstheme="majorBidi"/>
        </w:rPr>
        <w:t>BioMed</w:t>
      </w:r>
      <w:proofErr w:type="spellEnd"/>
      <w:r w:rsidRPr="008B4124">
        <w:rPr>
          <w:rFonts w:asciiTheme="majorBidi" w:hAnsiTheme="majorBidi" w:cstheme="majorBidi"/>
        </w:rPr>
        <w:t xml:space="preserve"> Research International</w:t>
      </w:r>
      <w:proofErr w:type="gramStart"/>
      <w:r w:rsidRPr="008B4124">
        <w:rPr>
          <w:rFonts w:asciiTheme="majorBidi" w:hAnsiTheme="majorBidi" w:cstheme="majorBidi"/>
        </w:rPr>
        <w:t>,pp.</w:t>
      </w:r>
      <w:r w:rsidR="002F592C" w:rsidRPr="008B4124">
        <w:rPr>
          <w:rFonts w:asciiTheme="majorBidi" w:hAnsiTheme="majorBidi" w:cstheme="majorBidi"/>
        </w:rPr>
        <w:t>8</w:t>
      </w:r>
      <w:r w:rsidRPr="008B4124">
        <w:rPr>
          <w:rFonts w:asciiTheme="majorBidi" w:hAnsiTheme="majorBidi" w:cstheme="majorBidi"/>
        </w:rPr>
        <w:t>,2016</w:t>
      </w:r>
      <w:proofErr w:type="gramEnd"/>
      <w:r w:rsidR="002F592C" w:rsidRPr="008B4124">
        <w:rPr>
          <w:rFonts w:asciiTheme="majorBidi" w:hAnsiTheme="majorBidi" w:cstheme="majorBidi"/>
        </w:rPr>
        <w:t xml:space="preserve">. </w:t>
      </w:r>
    </w:p>
    <w:p w14:paraId="77E84973" w14:textId="3CD96C52" w:rsidR="002F592C" w:rsidRPr="008B4124" w:rsidRDefault="00755FD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F.</w:t>
      </w:r>
      <w:r w:rsidR="002F592C" w:rsidRPr="008B4124">
        <w:rPr>
          <w:rFonts w:asciiTheme="majorBidi" w:hAnsiTheme="majorBidi" w:cstheme="majorBidi"/>
        </w:rPr>
        <w:t>Franchi</w:t>
      </w:r>
      <w:proofErr w:type="spellEnd"/>
      <w:r w:rsidR="002F592C" w:rsidRPr="008B4124">
        <w:rPr>
          <w:rFonts w:asciiTheme="majorBidi" w:hAnsiTheme="majorBidi" w:cstheme="majorBidi"/>
        </w:rPr>
        <w:t xml:space="preserve">, </w:t>
      </w:r>
      <w:proofErr w:type="spellStart"/>
      <w:r w:rsidRPr="008B4124">
        <w:rPr>
          <w:rFonts w:asciiTheme="majorBidi" w:hAnsiTheme="majorBidi" w:cstheme="majorBidi"/>
        </w:rPr>
        <w:t>A.</w:t>
      </w:r>
      <w:r w:rsidR="002F592C" w:rsidRPr="008B4124">
        <w:rPr>
          <w:rFonts w:asciiTheme="majorBidi" w:hAnsiTheme="majorBidi" w:cstheme="majorBidi"/>
        </w:rPr>
        <w:t>Faltoni</w:t>
      </w:r>
      <w:proofErr w:type="spellEnd"/>
      <w:r w:rsidR="002F592C" w:rsidRPr="008B4124">
        <w:rPr>
          <w:rFonts w:asciiTheme="majorBidi" w:hAnsiTheme="majorBidi" w:cstheme="majorBidi"/>
        </w:rPr>
        <w:t xml:space="preserve">, </w:t>
      </w:r>
      <w:proofErr w:type="spellStart"/>
      <w:r w:rsidR="00A50721" w:rsidRPr="008B4124">
        <w:rPr>
          <w:rFonts w:asciiTheme="majorBidi" w:hAnsiTheme="majorBidi" w:cstheme="majorBidi"/>
        </w:rPr>
        <w:t>M.</w:t>
      </w:r>
      <w:r w:rsidR="002F592C" w:rsidRPr="008B4124">
        <w:rPr>
          <w:rFonts w:asciiTheme="majorBidi" w:hAnsiTheme="majorBidi" w:cstheme="majorBidi"/>
        </w:rPr>
        <w:t>Cameli</w:t>
      </w:r>
      <w:proofErr w:type="spellEnd"/>
      <w:r w:rsidR="002F592C" w:rsidRPr="008B4124">
        <w:rPr>
          <w:rFonts w:asciiTheme="majorBidi" w:hAnsiTheme="majorBidi" w:cstheme="majorBidi"/>
        </w:rPr>
        <w:t>, et al. Influence of positive end-expiratory pressure on myocardial strain assessed by speckle tracking echocardiography in mechanically ventilated patients</w:t>
      </w:r>
      <w:r w:rsidRPr="008B4124">
        <w:rPr>
          <w:rFonts w:asciiTheme="majorBidi" w:hAnsiTheme="majorBidi" w:cstheme="majorBidi"/>
        </w:rPr>
        <w:t xml:space="preserve">. </w:t>
      </w:r>
      <w:proofErr w:type="spellStart"/>
      <w:r w:rsidRPr="008B4124">
        <w:rPr>
          <w:rFonts w:asciiTheme="majorBidi" w:hAnsiTheme="majorBidi" w:cstheme="majorBidi"/>
        </w:rPr>
        <w:t>BioMed</w:t>
      </w:r>
      <w:proofErr w:type="spellEnd"/>
      <w:r w:rsidRPr="008B4124">
        <w:rPr>
          <w:rFonts w:asciiTheme="majorBidi" w:hAnsiTheme="majorBidi" w:cstheme="majorBidi"/>
        </w:rPr>
        <w:t xml:space="preserve"> Research International</w:t>
      </w:r>
      <w:proofErr w:type="gramStart"/>
      <w:r w:rsidRPr="008B4124">
        <w:rPr>
          <w:rFonts w:asciiTheme="majorBidi" w:hAnsiTheme="majorBidi" w:cstheme="majorBidi"/>
        </w:rPr>
        <w:t>,pp.</w:t>
      </w:r>
      <w:r w:rsidR="002F592C" w:rsidRPr="008B4124">
        <w:rPr>
          <w:rFonts w:asciiTheme="majorBidi" w:hAnsiTheme="majorBidi" w:cstheme="majorBidi"/>
        </w:rPr>
        <w:t>8</w:t>
      </w:r>
      <w:r w:rsidRPr="008B4124">
        <w:rPr>
          <w:rFonts w:asciiTheme="majorBidi" w:hAnsiTheme="majorBidi" w:cstheme="majorBidi"/>
        </w:rPr>
        <w:t>,2013</w:t>
      </w:r>
      <w:proofErr w:type="gramEnd"/>
      <w:r w:rsidR="002F592C" w:rsidRPr="008B4124">
        <w:rPr>
          <w:rFonts w:asciiTheme="majorBidi" w:hAnsiTheme="majorBidi" w:cstheme="majorBidi"/>
        </w:rPr>
        <w:t xml:space="preserve">. </w:t>
      </w:r>
    </w:p>
    <w:p w14:paraId="2556CBD9" w14:textId="14C37185" w:rsidR="002F592C" w:rsidRPr="008B4124" w:rsidRDefault="00755FD4" w:rsidP="00AC4D36">
      <w:pPr>
        <w:pStyle w:val="BodyText"/>
        <w:widowControl/>
        <w:numPr>
          <w:ilvl w:val="0"/>
          <w:numId w:val="6"/>
        </w:numPr>
        <w:ind w:left="540"/>
        <w:rPr>
          <w:rFonts w:asciiTheme="majorBidi" w:hAnsiTheme="majorBidi" w:cstheme="majorBidi"/>
        </w:rPr>
      </w:pPr>
      <w:r w:rsidRPr="008B4124">
        <w:rPr>
          <w:rFonts w:asciiTheme="majorBidi" w:hAnsiTheme="majorBidi" w:cstheme="majorBidi"/>
        </w:rPr>
        <w:t xml:space="preserve">M. </w:t>
      </w:r>
      <w:proofErr w:type="spellStart"/>
      <w:r w:rsidRPr="008B4124">
        <w:rPr>
          <w:rFonts w:asciiTheme="majorBidi" w:hAnsiTheme="majorBidi" w:cstheme="majorBidi"/>
        </w:rPr>
        <w:t>C.</w:t>
      </w:r>
      <w:r w:rsidR="002F592C" w:rsidRPr="008B4124">
        <w:rPr>
          <w:rFonts w:asciiTheme="majorBidi" w:hAnsiTheme="majorBidi" w:cstheme="majorBidi"/>
        </w:rPr>
        <w:t>Pastore</w:t>
      </w:r>
      <w:proofErr w:type="spellEnd"/>
      <w:r w:rsidR="002F592C" w:rsidRPr="008B4124">
        <w:rPr>
          <w:rFonts w:asciiTheme="majorBidi" w:hAnsiTheme="majorBidi" w:cstheme="majorBidi"/>
        </w:rPr>
        <w:t xml:space="preserve">, </w:t>
      </w:r>
      <w:r w:rsidRPr="008B4124">
        <w:rPr>
          <w:rFonts w:asciiTheme="majorBidi" w:hAnsiTheme="majorBidi" w:cstheme="majorBidi"/>
        </w:rPr>
        <w:t xml:space="preserve">G. </w:t>
      </w:r>
      <w:proofErr w:type="spellStart"/>
      <w:r w:rsidRPr="008B4124">
        <w:rPr>
          <w:rFonts w:asciiTheme="majorBidi" w:hAnsiTheme="majorBidi" w:cstheme="majorBidi"/>
        </w:rPr>
        <w:t>E.</w:t>
      </w:r>
      <w:r w:rsidR="002F592C" w:rsidRPr="008B4124">
        <w:rPr>
          <w:rFonts w:asciiTheme="majorBidi" w:hAnsiTheme="majorBidi" w:cstheme="majorBidi"/>
        </w:rPr>
        <w:t>Mandoli</w:t>
      </w:r>
      <w:proofErr w:type="spellEnd"/>
      <w:r w:rsidR="002F592C" w:rsidRPr="008B4124">
        <w:rPr>
          <w:rFonts w:asciiTheme="majorBidi" w:hAnsiTheme="majorBidi" w:cstheme="majorBidi"/>
        </w:rPr>
        <w:t xml:space="preserve">, </w:t>
      </w:r>
      <w:r w:rsidRPr="008B4124">
        <w:rPr>
          <w:rFonts w:asciiTheme="majorBidi" w:hAnsiTheme="majorBidi" w:cstheme="majorBidi"/>
        </w:rPr>
        <w:t xml:space="preserve">H. </w:t>
      </w:r>
      <w:proofErr w:type="spellStart"/>
      <w:r w:rsidRPr="008B4124">
        <w:rPr>
          <w:rFonts w:asciiTheme="majorBidi" w:hAnsiTheme="majorBidi" w:cstheme="majorBidi"/>
        </w:rPr>
        <w:t>S.</w:t>
      </w:r>
      <w:r w:rsidR="002F592C" w:rsidRPr="008B4124">
        <w:rPr>
          <w:rFonts w:asciiTheme="majorBidi" w:hAnsiTheme="majorBidi" w:cstheme="majorBidi"/>
        </w:rPr>
        <w:t>Aboumarie</w:t>
      </w:r>
      <w:proofErr w:type="spellEnd"/>
      <w:r w:rsidR="002F592C" w:rsidRPr="008B4124">
        <w:rPr>
          <w:rFonts w:asciiTheme="majorBidi" w:hAnsiTheme="majorBidi" w:cstheme="majorBidi"/>
        </w:rPr>
        <w:t xml:space="preserve">, et al. Basic and advanced echocardiography in advanced heart failure: an overview. Heart Failure </w:t>
      </w:r>
      <w:proofErr w:type="gramStart"/>
      <w:r w:rsidR="002F592C" w:rsidRPr="008B4124">
        <w:rPr>
          <w:rFonts w:asciiTheme="majorBidi" w:hAnsiTheme="majorBidi" w:cstheme="majorBidi"/>
        </w:rPr>
        <w:t>Reviews</w:t>
      </w:r>
      <w:r w:rsidRPr="008B4124">
        <w:rPr>
          <w:rFonts w:asciiTheme="majorBidi" w:hAnsiTheme="majorBidi" w:cstheme="majorBidi"/>
        </w:rPr>
        <w:t>.vol.25(</w:t>
      </w:r>
      <w:proofErr w:type="gramEnd"/>
      <w:r w:rsidRPr="008B4124">
        <w:rPr>
          <w:rFonts w:asciiTheme="majorBidi" w:hAnsiTheme="majorBidi" w:cstheme="majorBidi"/>
        </w:rPr>
        <w:t>6),pp.</w:t>
      </w:r>
      <w:r w:rsidR="002F592C" w:rsidRPr="008B4124">
        <w:rPr>
          <w:rFonts w:asciiTheme="majorBidi" w:hAnsiTheme="majorBidi" w:cstheme="majorBidi"/>
        </w:rPr>
        <w:t>937–948</w:t>
      </w:r>
      <w:r w:rsidRPr="008B4124">
        <w:rPr>
          <w:rFonts w:asciiTheme="majorBidi" w:hAnsiTheme="majorBidi" w:cstheme="majorBidi"/>
        </w:rPr>
        <w:t>,2020</w:t>
      </w:r>
      <w:r w:rsidR="002F592C" w:rsidRPr="008B4124">
        <w:rPr>
          <w:rFonts w:asciiTheme="majorBidi" w:hAnsiTheme="majorBidi" w:cstheme="majorBidi"/>
        </w:rPr>
        <w:t xml:space="preserve">. </w:t>
      </w:r>
    </w:p>
    <w:p w14:paraId="0DD6FC1B" w14:textId="47CECFCE" w:rsidR="002F592C" w:rsidRPr="008B4124" w:rsidRDefault="00755FD4" w:rsidP="00AC4D36">
      <w:pPr>
        <w:pStyle w:val="BodyText"/>
        <w:widowControl/>
        <w:numPr>
          <w:ilvl w:val="0"/>
          <w:numId w:val="6"/>
        </w:numPr>
        <w:ind w:left="540"/>
        <w:rPr>
          <w:rFonts w:asciiTheme="majorBidi" w:hAnsiTheme="majorBidi" w:cstheme="majorBidi"/>
        </w:rPr>
      </w:pPr>
      <w:r w:rsidRPr="008B4124">
        <w:rPr>
          <w:rFonts w:asciiTheme="majorBidi" w:hAnsiTheme="majorBidi" w:cstheme="majorBidi"/>
        </w:rPr>
        <w:t xml:space="preserve">D. </w:t>
      </w:r>
      <w:proofErr w:type="spellStart"/>
      <w:r w:rsidRPr="008B4124">
        <w:rPr>
          <w:rFonts w:asciiTheme="majorBidi" w:hAnsiTheme="majorBidi" w:cstheme="majorBidi"/>
        </w:rPr>
        <w:t>A.</w:t>
      </w:r>
      <w:r w:rsidR="002F592C" w:rsidRPr="008B4124">
        <w:rPr>
          <w:rFonts w:asciiTheme="majorBidi" w:hAnsiTheme="majorBidi" w:cstheme="majorBidi"/>
        </w:rPr>
        <w:t>Morris</w:t>
      </w:r>
      <w:proofErr w:type="spellEnd"/>
      <w:r w:rsidR="002F592C" w:rsidRPr="008B4124">
        <w:rPr>
          <w:rFonts w:asciiTheme="majorBidi" w:hAnsiTheme="majorBidi" w:cstheme="majorBidi"/>
        </w:rPr>
        <w:t>,</w:t>
      </w:r>
      <w:r w:rsidRPr="008B4124">
        <w:rPr>
          <w:rFonts w:asciiTheme="majorBidi" w:hAnsiTheme="majorBidi" w:cstheme="majorBidi"/>
        </w:rPr>
        <w:t xml:space="preserve"> X. X.</w:t>
      </w:r>
      <w:r w:rsidR="002F592C" w:rsidRPr="008B4124">
        <w:rPr>
          <w:rFonts w:asciiTheme="majorBidi" w:hAnsiTheme="majorBidi" w:cstheme="majorBidi"/>
        </w:rPr>
        <w:t xml:space="preserve"> Ma, </w:t>
      </w:r>
      <w:proofErr w:type="spellStart"/>
      <w:r w:rsidRPr="008B4124">
        <w:rPr>
          <w:rFonts w:asciiTheme="majorBidi" w:hAnsiTheme="majorBidi" w:cstheme="majorBidi"/>
        </w:rPr>
        <w:t>E.</w:t>
      </w:r>
      <w:r w:rsidR="002F592C" w:rsidRPr="008B4124">
        <w:rPr>
          <w:rFonts w:asciiTheme="majorBidi" w:hAnsiTheme="majorBidi" w:cstheme="majorBidi"/>
        </w:rPr>
        <w:t>Belyavskiy</w:t>
      </w:r>
      <w:proofErr w:type="spellEnd"/>
      <w:r w:rsidR="002F592C" w:rsidRPr="008B4124">
        <w:rPr>
          <w:rFonts w:asciiTheme="majorBidi" w:hAnsiTheme="majorBidi" w:cstheme="majorBidi"/>
        </w:rPr>
        <w:t xml:space="preserve">, et al. Left ventricular longitudinal systolic function </w:t>
      </w:r>
      <w:proofErr w:type="spellStart"/>
      <w:r w:rsidR="002F592C" w:rsidRPr="008B4124">
        <w:rPr>
          <w:rFonts w:asciiTheme="majorBidi" w:hAnsiTheme="majorBidi" w:cstheme="majorBidi"/>
        </w:rPr>
        <w:t>analysed</w:t>
      </w:r>
      <w:proofErr w:type="spellEnd"/>
      <w:r w:rsidR="002F592C" w:rsidRPr="008B4124">
        <w:rPr>
          <w:rFonts w:asciiTheme="majorBidi" w:hAnsiTheme="majorBidi" w:cstheme="majorBidi"/>
        </w:rPr>
        <w:t xml:space="preserve"> by 2D speckle-tracking echocardiography in heart failure with preserved ejection fraction: a meta-analysis. Open </w:t>
      </w:r>
      <w:proofErr w:type="gramStart"/>
      <w:r w:rsidR="002F592C" w:rsidRPr="008B4124">
        <w:rPr>
          <w:rFonts w:asciiTheme="majorBidi" w:hAnsiTheme="majorBidi" w:cstheme="majorBidi"/>
        </w:rPr>
        <w:t>Heart</w:t>
      </w:r>
      <w:r w:rsidRPr="008B4124">
        <w:rPr>
          <w:rFonts w:asciiTheme="majorBidi" w:hAnsiTheme="majorBidi" w:cstheme="majorBidi"/>
        </w:rPr>
        <w:t>.vol.</w:t>
      </w:r>
      <w:r w:rsidR="002F592C" w:rsidRPr="008B4124">
        <w:rPr>
          <w:rFonts w:asciiTheme="majorBidi" w:hAnsiTheme="majorBidi" w:cstheme="majorBidi"/>
        </w:rPr>
        <w:t>4(</w:t>
      </w:r>
      <w:proofErr w:type="gramEnd"/>
      <w:r w:rsidR="002F592C" w:rsidRPr="008B4124">
        <w:rPr>
          <w:rFonts w:asciiTheme="majorBidi" w:hAnsiTheme="majorBidi" w:cstheme="majorBidi"/>
        </w:rPr>
        <w:t xml:space="preserve">2, article e000630) </w:t>
      </w:r>
      <w:r w:rsidRPr="008B4124">
        <w:rPr>
          <w:rFonts w:asciiTheme="majorBidi" w:hAnsiTheme="majorBidi" w:cstheme="majorBidi"/>
        </w:rPr>
        <w:t>,2017.</w:t>
      </w:r>
    </w:p>
    <w:p w14:paraId="0B925B19" w14:textId="57147C78" w:rsidR="002F592C" w:rsidRPr="008B4124" w:rsidRDefault="00755FD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S.</w:t>
      </w:r>
      <w:r w:rsidR="002F592C" w:rsidRPr="008B4124">
        <w:rPr>
          <w:rFonts w:asciiTheme="majorBidi" w:hAnsiTheme="majorBidi" w:cstheme="majorBidi"/>
        </w:rPr>
        <w:t>Buccheri</w:t>
      </w:r>
      <w:proofErr w:type="spellEnd"/>
      <w:r w:rsidR="002F592C" w:rsidRPr="008B4124">
        <w:rPr>
          <w:rFonts w:asciiTheme="majorBidi" w:hAnsiTheme="majorBidi" w:cstheme="majorBidi"/>
        </w:rPr>
        <w:t xml:space="preserve">, </w:t>
      </w:r>
      <w:proofErr w:type="spellStart"/>
      <w:r w:rsidRPr="008B4124">
        <w:rPr>
          <w:rFonts w:asciiTheme="majorBidi" w:hAnsiTheme="majorBidi" w:cstheme="majorBidi"/>
        </w:rPr>
        <w:t>I.</w:t>
      </w:r>
      <w:r w:rsidR="002F592C" w:rsidRPr="008B4124">
        <w:rPr>
          <w:rFonts w:asciiTheme="majorBidi" w:hAnsiTheme="majorBidi" w:cstheme="majorBidi"/>
        </w:rPr>
        <w:t>Monte</w:t>
      </w:r>
      <w:proofErr w:type="spellEnd"/>
      <w:r w:rsidR="002F592C" w:rsidRPr="008B4124">
        <w:rPr>
          <w:rFonts w:asciiTheme="majorBidi" w:hAnsiTheme="majorBidi" w:cstheme="majorBidi"/>
        </w:rPr>
        <w:t xml:space="preserve">, </w:t>
      </w:r>
      <w:proofErr w:type="spellStart"/>
      <w:r w:rsidRPr="008B4124">
        <w:rPr>
          <w:rFonts w:asciiTheme="majorBidi" w:hAnsiTheme="majorBidi" w:cstheme="majorBidi"/>
        </w:rPr>
        <w:t>S.</w:t>
      </w:r>
      <w:r w:rsidR="002F592C" w:rsidRPr="008B4124">
        <w:rPr>
          <w:rFonts w:asciiTheme="majorBidi" w:hAnsiTheme="majorBidi" w:cstheme="majorBidi"/>
        </w:rPr>
        <w:t>Mangiafico</w:t>
      </w:r>
      <w:proofErr w:type="spellEnd"/>
      <w:r w:rsidR="002F592C" w:rsidRPr="008B4124">
        <w:rPr>
          <w:rFonts w:asciiTheme="majorBidi" w:hAnsiTheme="majorBidi" w:cstheme="majorBidi"/>
        </w:rPr>
        <w:t xml:space="preserve">, </w:t>
      </w:r>
      <w:proofErr w:type="spellStart"/>
      <w:r w:rsidRPr="008B4124">
        <w:rPr>
          <w:rFonts w:asciiTheme="majorBidi" w:hAnsiTheme="majorBidi" w:cstheme="majorBidi"/>
        </w:rPr>
        <w:t>V.</w:t>
      </w:r>
      <w:r w:rsidR="002F592C" w:rsidRPr="008B4124">
        <w:rPr>
          <w:rFonts w:asciiTheme="majorBidi" w:hAnsiTheme="majorBidi" w:cstheme="majorBidi"/>
        </w:rPr>
        <w:t>Bottari</w:t>
      </w:r>
      <w:proofErr w:type="spellEnd"/>
      <w:r w:rsidR="002F592C" w:rsidRPr="008B4124">
        <w:rPr>
          <w:rFonts w:asciiTheme="majorBidi" w:hAnsiTheme="majorBidi" w:cstheme="majorBidi"/>
        </w:rPr>
        <w:t xml:space="preserve">, </w:t>
      </w:r>
      <w:proofErr w:type="spellStart"/>
      <w:r w:rsidRPr="008B4124">
        <w:rPr>
          <w:rFonts w:asciiTheme="majorBidi" w:hAnsiTheme="majorBidi" w:cstheme="majorBidi"/>
        </w:rPr>
        <w:t>S.</w:t>
      </w:r>
      <w:r w:rsidR="002F592C" w:rsidRPr="008B4124">
        <w:rPr>
          <w:rFonts w:asciiTheme="majorBidi" w:hAnsiTheme="majorBidi" w:cstheme="majorBidi"/>
        </w:rPr>
        <w:t>Leggio</w:t>
      </w:r>
      <w:proofErr w:type="spellEnd"/>
      <w:r w:rsidR="002F592C" w:rsidRPr="008B4124">
        <w:rPr>
          <w:rFonts w:asciiTheme="majorBidi" w:hAnsiTheme="majorBidi" w:cstheme="majorBidi"/>
        </w:rPr>
        <w:t xml:space="preserve">, </w:t>
      </w:r>
      <w:proofErr w:type="spellStart"/>
      <w:r w:rsidRPr="008B4124">
        <w:rPr>
          <w:rFonts w:asciiTheme="majorBidi" w:hAnsiTheme="majorBidi" w:cstheme="majorBidi"/>
        </w:rPr>
        <w:t>C.</w:t>
      </w:r>
      <w:r w:rsidR="002F592C" w:rsidRPr="008B4124">
        <w:rPr>
          <w:rFonts w:asciiTheme="majorBidi" w:hAnsiTheme="majorBidi" w:cstheme="majorBidi"/>
        </w:rPr>
        <w:t>Tamburino</w:t>
      </w:r>
      <w:proofErr w:type="spellEnd"/>
      <w:r w:rsidR="002F592C" w:rsidRPr="008B4124">
        <w:rPr>
          <w:rFonts w:asciiTheme="majorBidi" w:hAnsiTheme="majorBidi" w:cstheme="majorBidi"/>
        </w:rPr>
        <w:t xml:space="preserve"> Feasibility, reproducibility, and agreement between different speckle tracking echocardiographic techniques for the assessment of longitudinal deformation</w:t>
      </w:r>
      <w:r w:rsidRPr="008B4124">
        <w:rPr>
          <w:rFonts w:asciiTheme="majorBidi" w:hAnsiTheme="majorBidi" w:cstheme="majorBidi"/>
        </w:rPr>
        <w:t xml:space="preserve">. </w:t>
      </w:r>
      <w:proofErr w:type="spellStart"/>
      <w:r w:rsidRPr="008B4124">
        <w:rPr>
          <w:rFonts w:asciiTheme="majorBidi" w:hAnsiTheme="majorBidi" w:cstheme="majorBidi"/>
        </w:rPr>
        <w:t>BioMed</w:t>
      </w:r>
      <w:proofErr w:type="spellEnd"/>
      <w:r w:rsidRPr="008B4124">
        <w:rPr>
          <w:rFonts w:asciiTheme="majorBidi" w:hAnsiTheme="majorBidi" w:cstheme="majorBidi"/>
        </w:rPr>
        <w:t xml:space="preserve"> Research International</w:t>
      </w:r>
      <w:proofErr w:type="gramStart"/>
      <w:r w:rsidRPr="008B4124">
        <w:rPr>
          <w:rFonts w:asciiTheme="majorBidi" w:hAnsiTheme="majorBidi" w:cstheme="majorBidi"/>
        </w:rPr>
        <w:t>,pp.</w:t>
      </w:r>
      <w:r w:rsidR="002F592C" w:rsidRPr="008B4124">
        <w:rPr>
          <w:rFonts w:asciiTheme="majorBidi" w:hAnsiTheme="majorBidi" w:cstheme="majorBidi"/>
        </w:rPr>
        <w:t>9</w:t>
      </w:r>
      <w:r w:rsidRPr="008B4124">
        <w:rPr>
          <w:rFonts w:asciiTheme="majorBidi" w:hAnsiTheme="majorBidi" w:cstheme="majorBidi"/>
        </w:rPr>
        <w:t>,2013</w:t>
      </w:r>
      <w:proofErr w:type="gramEnd"/>
      <w:r w:rsidR="002F592C" w:rsidRPr="008B4124">
        <w:rPr>
          <w:rFonts w:asciiTheme="majorBidi" w:hAnsiTheme="majorBidi" w:cstheme="majorBidi"/>
        </w:rPr>
        <w:t xml:space="preserve">. </w:t>
      </w:r>
    </w:p>
    <w:p w14:paraId="0BEAD6D0" w14:textId="0FBC237F" w:rsidR="002F592C" w:rsidRPr="008B4124" w:rsidRDefault="00755FD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M.</w:t>
      </w:r>
      <w:r w:rsidR="002F592C" w:rsidRPr="008B4124">
        <w:rPr>
          <w:rFonts w:asciiTheme="majorBidi" w:hAnsiTheme="majorBidi" w:cstheme="majorBidi"/>
        </w:rPr>
        <w:t>Takeuchi</w:t>
      </w:r>
      <w:proofErr w:type="spellEnd"/>
      <w:r w:rsidR="002F592C" w:rsidRPr="008B4124">
        <w:rPr>
          <w:rFonts w:asciiTheme="majorBidi" w:hAnsiTheme="majorBidi" w:cstheme="majorBidi"/>
        </w:rPr>
        <w:t xml:space="preserve">, </w:t>
      </w:r>
      <w:r w:rsidRPr="008B4124">
        <w:rPr>
          <w:rFonts w:asciiTheme="majorBidi" w:hAnsiTheme="majorBidi" w:cstheme="majorBidi"/>
        </w:rPr>
        <w:t xml:space="preserve">V. C. </w:t>
      </w:r>
      <w:r w:rsidR="002F592C" w:rsidRPr="008B4124">
        <w:rPr>
          <w:rFonts w:asciiTheme="majorBidi" w:hAnsiTheme="majorBidi" w:cstheme="majorBidi"/>
        </w:rPr>
        <w:t>Wu</w:t>
      </w:r>
      <w:r w:rsidRPr="008B4124">
        <w:rPr>
          <w:rFonts w:asciiTheme="majorBidi" w:hAnsiTheme="majorBidi" w:cstheme="majorBidi"/>
        </w:rPr>
        <w:t>,</w:t>
      </w:r>
      <w:r w:rsidR="002F592C" w:rsidRPr="008B4124">
        <w:rPr>
          <w:rFonts w:asciiTheme="majorBidi" w:hAnsiTheme="majorBidi" w:cstheme="majorBidi"/>
        </w:rPr>
        <w:t xml:space="preserve"> Application of left ventricular strain to patients with coronary artery disease. Current Opinion in </w:t>
      </w:r>
      <w:proofErr w:type="gramStart"/>
      <w:r w:rsidR="002F592C" w:rsidRPr="008B4124">
        <w:rPr>
          <w:rFonts w:asciiTheme="majorBidi" w:hAnsiTheme="majorBidi" w:cstheme="majorBidi"/>
        </w:rPr>
        <w:t>Cardiology</w:t>
      </w:r>
      <w:r w:rsidRPr="008B4124">
        <w:rPr>
          <w:rFonts w:asciiTheme="majorBidi" w:hAnsiTheme="majorBidi" w:cstheme="majorBidi"/>
        </w:rPr>
        <w:t>.vol.33(</w:t>
      </w:r>
      <w:proofErr w:type="gramEnd"/>
      <w:r w:rsidRPr="008B4124">
        <w:rPr>
          <w:rFonts w:asciiTheme="majorBidi" w:hAnsiTheme="majorBidi" w:cstheme="majorBidi"/>
        </w:rPr>
        <w:t>5),pp.</w:t>
      </w:r>
      <w:r w:rsidR="002F592C" w:rsidRPr="008B4124">
        <w:rPr>
          <w:rFonts w:asciiTheme="majorBidi" w:hAnsiTheme="majorBidi" w:cstheme="majorBidi"/>
        </w:rPr>
        <w:t>464–469</w:t>
      </w:r>
      <w:r w:rsidRPr="008B4124">
        <w:rPr>
          <w:rFonts w:asciiTheme="majorBidi" w:hAnsiTheme="majorBidi" w:cstheme="majorBidi"/>
        </w:rPr>
        <w:t>,2018</w:t>
      </w:r>
      <w:r w:rsidR="002F592C" w:rsidRPr="008B4124">
        <w:rPr>
          <w:rFonts w:asciiTheme="majorBidi" w:hAnsiTheme="majorBidi" w:cstheme="majorBidi"/>
        </w:rPr>
        <w:t xml:space="preserve">. </w:t>
      </w:r>
    </w:p>
    <w:p w14:paraId="5B80F30D" w14:textId="4BC9B45D" w:rsidR="009E0816" w:rsidRPr="008B4124" w:rsidRDefault="00755FD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M.</w:t>
      </w:r>
      <w:r w:rsidR="002F592C" w:rsidRPr="008B4124">
        <w:rPr>
          <w:rFonts w:asciiTheme="majorBidi" w:hAnsiTheme="majorBidi" w:cstheme="majorBidi"/>
        </w:rPr>
        <w:t>Cameli</w:t>
      </w:r>
      <w:proofErr w:type="spellEnd"/>
      <w:r w:rsidR="002F592C" w:rsidRPr="008B4124">
        <w:rPr>
          <w:rFonts w:asciiTheme="majorBidi" w:hAnsiTheme="majorBidi" w:cstheme="majorBidi"/>
        </w:rPr>
        <w:t xml:space="preserve">, </w:t>
      </w:r>
      <w:r w:rsidRPr="008B4124">
        <w:rPr>
          <w:rFonts w:asciiTheme="majorBidi" w:hAnsiTheme="majorBidi" w:cstheme="majorBidi"/>
        </w:rPr>
        <w:t xml:space="preserve">G. </w:t>
      </w:r>
      <w:proofErr w:type="spellStart"/>
      <w:r w:rsidRPr="008B4124">
        <w:rPr>
          <w:rFonts w:asciiTheme="majorBidi" w:hAnsiTheme="majorBidi" w:cstheme="majorBidi"/>
        </w:rPr>
        <w:t>E.</w:t>
      </w:r>
      <w:r w:rsidR="002F592C" w:rsidRPr="008B4124">
        <w:rPr>
          <w:rFonts w:asciiTheme="majorBidi" w:hAnsiTheme="majorBidi" w:cstheme="majorBidi"/>
        </w:rPr>
        <w:t>Mandoli</w:t>
      </w:r>
      <w:proofErr w:type="spellEnd"/>
      <w:r w:rsidR="002F592C" w:rsidRPr="008B4124">
        <w:rPr>
          <w:rFonts w:asciiTheme="majorBidi" w:hAnsiTheme="majorBidi" w:cstheme="majorBidi"/>
        </w:rPr>
        <w:t xml:space="preserve">, </w:t>
      </w:r>
      <w:proofErr w:type="spellStart"/>
      <w:r w:rsidRPr="008B4124">
        <w:rPr>
          <w:rFonts w:asciiTheme="majorBidi" w:hAnsiTheme="majorBidi" w:cstheme="majorBidi"/>
        </w:rPr>
        <w:t>C.</w:t>
      </w:r>
      <w:r w:rsidR="002F592C" w:rsidRPr="008B4124">
        <w:rPr>
          <w:rFonts w:asciiTheme="majorBidi" w:hAnsiTheme="majorBidi" w:cstheme="majorBidi"/>
        </w:rPr>
        <w:t>Sciaccaluga</w:t>
      </w:r>
      <w:proofErr w:type="spellEnd"/>
      <w:r w:rsidR="002F592C" w:rsidRPr="008B4124">
        <w:rPr>
          <w:rFonts w:asciiTheme="majorBidi" w:hAnsiTheme="majorBidi" w:cstheme="majorBidi"/>
        </w:rPr>
        <w:t xml:space="preserve">, </w:t>
      </w:r>
      <w:proofErr w:type="spellStart"/>
      <w:r w:rsidRPr="008B4124">
        <w:rPr>
          <w:rFonts w:asciiTheme="majorBidi" w:hAnsiTheme="majorBidi" w:cstheme="majorBidi"/>
        </w:rPr>
        <w:t>S.</w:t>
      </w:r>
      <w:r w:rsidR="002F592C" w:rsidRPr="008B4124">
        <w:rPr>
          <w:rFonts w:asciiTheme="majorBidi" w:hAnsiTheme="majorBidi" w:cstheme="majorBidi"/>
        </w:rPr>
        <w:t>Mondillo</w:t>
      </w:r>
      <w:proofErr w:type="spellEnd"/>
      <w:r w:rsidRPr="008B4124">
        <w:rPr>
          <w:rFonts w:asciiTheme="majorBidi" w:hAnsiTheme="majorBidi" w:cstheme="majorBidi"/>
        </w:rPr>
        <w:t>,</w:t>
      </w:r>
      <w:r w:rsidR="002F592C" w:rsidRPr="008B4124">
        <w:rPr>
          <w:rFonts w:asciiTheme="majorBidi" w:hAnsiTheme="majorBidi" w:cstheme="majorBidi"/>
        </w:rPr>
        <w:t xml:space="preserve"> More than 10 years of speckle tracking echocardiography: still a novel technique or a definite tool for clinical practice? </w:t>
      </w:r>
      <w:proofErr w:type="gramStart"/>
      <w:r w:rsidR="002F592C" w:rsidRPr="008B4124">
        <w:rPr>
          <w:rFonts w:asciiTheme="majorBidi" w:hAnsiTheme="majorBidi" w:cstheme="majorBidi"/>
        </w:rPr>
        <w:t>Echocardiography</w:t>
      </w:r>
      <w:r w:rsidRPr="008B4124">
        <w:rPr>
          <w:rFonts w:asciiTheme="majorBidi" w:hAnsiTheme="majorBidi" w:cstheme="majorBidi"/>
        </w:rPr>
        <w:t>.vol.36(</w:t>
      </w:r>
      <w:proofErr w:type="gramEnd"/>
      <w:r w:rsidRPr="008B4124">
        <w:rPr>
          <w:rFonts w:asciiTheme="majorBidi" w:hAnsiTheme="majorBidi" w:cstheme="majorBidi"/>
        </w:rPr>
        <w:t>5),pp.</w:t>
      </w:r>
      <w:r w:rsidR="002F592C" w:rsidRPr="008B4124">
        <w:rPr>
          <w:rFonts w:asciiTheme="majorBidi" w:hAnsiTheme="majorBidi" w:cstheme="majorBidi"/>
        </w:rPr>
        <w:t>958–970</w:t>
      </w:r>
      <w:r w:rsidRPr="008B4124">
        <w:rPr>
          <w:rFonts w:asciiTheme="majorBidi" w:hAnsiTheme="majorBidi" w:cstheme="majorBidi"/>
        </w:rPr>
        <w:t>,2019</w:t>
      </w:r>
      <w:r w:rsidR="002F592C" w:rsidRPr="008B4124">
        <w:rPr>
          <w:rFonts w:asciiTheme="majorBidi" w:hAnsiTheme="majorBidi" w:cstheme="majorBidi"/>
        </w:rPr>
        <w:t xml:space="preserve">. </w:t>
      </w:r>
    </w:p>
    <w:p w14:paraId="660B5938" w14:textId="6520E67E" w:rsidR="009E0816" w:rsidRPr="008B4124" w:rsidRDefault="00755FD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CT.</w:t>
      </w:r>
      <w:r w:rsidR="009E0816" w:rsidRPr="008B4124">
        <w:rPr>
          <w:rFonts w:asciiTheme="majorBidi" w:hAnsiTheme="majorBidi" w:cstheme="majorBidi"/>
        </w:rPr>
        <w:t>January</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LS.</w:t>
      </w:r>
      <w:r w:rsidR="009E0816" w:rsidRPr="008B4124">
        <w:rPr>
          <w:rFonts w:asciiTheme="majorBidi" w:hAnsiTheme="majorBidi" w:cstheme="majorBidi"/>
        </w:rPr>
        <w:t>Wann</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H.</w:t>
      </w:r>
      <w:r w:rsidR="009E0816" w:rsidRPr="008B4124">
        <w:rPr>
          <w:rFonts w:asciiTheme="majorBidi" w:hAnsiTheme="majorBidi" w:cstheme="majorBidi"/>
        </w:rPr>
        <w:t>Calkins</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LY.</w:t>
      </w:r>
      <w:r w:rsidR="009E0816" w:rsidRPr="008B4124">
        <w:rPr>
          <w:rFonts w:asciiTheme="majorBidi" w:hAnsiTheme="majorBidi" w:cstheme="majorBidi"/>
        </w:rPr>
        <w:t>Chen</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JE.</w:t>
      </w:r>
      <w:r w:rsidR="009E0816" w:rsidRPr="008B4124">
        <w:rPr>
          <w:rFonts w:asciiTheme="majorBidi" w:hAnsiTheme="majorBidi" w:cstheme="majorBidi"/>
        </w:rPr>
        <w:t>Cigarroa</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JC.</w:t>
      </w:r>
      <w:r w:rsidR="009E0816" w:rsidRPr="008B4124">
        <w:rPr>
          <w:rFonts w:asciiTheme="majorBidi" w:hAnsiTheme="majorBidi" w:cstheme="majorBidi"/>
        </w:rPr>
        <w:t>Cleveland</w:t>
      </w:r>
      <w:proofErr w:type="spellEnd"/>
      <w:r w:rsidR="009E0816" w:rsidRPr="008B4124">
        <w:rPr>
          <w:rFonts w:asciiTheme="majorBidi" w:hAnsiTheme="majorBidi" w:cstheme="majorBidi"/>
        </w:rPr>
        <w:t xml:space="preserve">, </w:t>
      </w:r>
      <w:proofErr w:type="spellStart"/>
      <w:r w:rsidR="009E0816" w:rsidRPr="008B4124">
        <w:rPr>
          <w:rFonts w:asciiTheme="majorBidi" w:hAnsiTheme="majorBidi" w:cstheme="majorBidi"/>
        </w:rPr>
        <w:t>Jr</w:t>
      </w:r>
      <w:proofErr w:type="spellEnd"/>
      <w:r w:rsidR="009E0816" w:rsidRPr="008B4124">
        <w:rPr>
          <w:rFonts w:asciiTheme="majorBidi" w:hAnsiTheme="majorBidi" w:cstheme="majorBidi"/>
        </w:rPr>
        <w:t xml:space="preserve">, et al. AHA/ACC/HRS Focused Update of the 2014 </w:t>
      </w:r>
      <w:r w:rsidR="009E0816" w:rsidRPr="008B4124">
        <w:rPr>
          <w:rFonts w:asciiTheme="majorBidi" w:hAnsiTheme="majorBidi" w:cstheme="majorBidi"/>
        </w:rPr>
        <w:lastRenderedPageBreak/>
        <w:t>AHA/ACC/HRS Guideline for the Management of Patients With Atrial Fibrillation: A Report of the American College of Cardiology/American Heart Association Task Force on Clinical Practice Guidelines and the Heart Rhythm Soci</w:t>
      </w:r>
      <w:r w:rsidRPr="008B4124">
        <w:rPr>
          <w:rFonts w:asciiTheme="majorBidi" w:hAnsiTheme="majorBidi" w:cstheme="majorBidi"/>
        </w:rPr>
        <w:t xml:space="preserve">ety. J Am </w:t>
      </w:r>
      <w:proofErr w:type="spellStart"/>
      <w:r w:rsidRPr="008B4124">
        <w:rPr>
          <w:rFonts w:asciiTheme="majorBidi" w:hAnsiTheme="majorBidi" w:cstheme="majorBidi"/>
        </w:rPr>
        <w:t>Coll</w:t>
      </w:r>
      <w:proofErr w:type="spellEnd"/>
      <w:r w:rsidRPr="008B4124">
        <w:rPr>
          <w:rFonts w:asciiTheme="majorBidi" w:hAnsiTheme="majorBidi" w:cstheme="majorBidi"/>
        </w:rPr>
        <w:t xml:space="preserve"> Cardiol.vol.74</w:t>
      </w:r>
      <w:proofErr w:type="gramStart"/>
      <w:r w:rsidRPr="008B4124">
        <w:rPr>
          <w:rFonts w:asciiTheme="majorBidi" w:hAnsiTheme="majorBidi" w:cstheme="majorBidi"/>
        </w:rPr>
        <w:t>,pp.</w:t>
      </w:r>
      <w:r w:rsidR="009E0816" w:rsidRPr="008B4124">
        <w:rPr>
          <w:rFonts w:asciiTheme="majorBidi" w:hAnsiTheme="majorBidi" w:cstheme="majorBidi"/>
        </w:rPr>
        <w:t>104</w:t>
      </w:r>
      <w:proofErr w:type="gramEnd"/>
      <w:r w:rsidR="009E0816" w:rsidRPr="008B4124">
        <w:rPr>
          <w:rFonts w:asciiTheme="majorBidi" w:hAnsiTheme="majorBidi" w:cstheme="majorBidi"/>
        </w:rPr>
        <w:t>–32</w:t>
      </w:r>
      <w:r w:rsidRPr="008B4124">
        <w:rPr>
          <w:rFonts w:asciiTheme="majorBidi" w:hAnsiTheme="majorBidi" w:cstheme="majorBidi"/>
        </w:rPr>
        <w:t>,2019</w:t>
      </w:r>
      <w:r w:rsidR="009E0816" w:rsidRPr="008B4124">
        <w:rPr>
          <w:rFonts w:asciiTheme="majorBidi" w:hAnsiTheme="majorBidi" w:cstheme="majorBidi"/>
        </w:rPr>
        <w:t xml:space="preserve">. </w:t>
      </w:r>
    </w:p>
    <w:p w14:paraId="5C6AA9CF" w14:textId="65EFBF59" w:rsidR="009E0816" w:rsidRPr="008B4124" w:rsidRDefault="00755FD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G.</w:t>
      </w:r>
      <w:r w:rsidR="009E0816" w:rsidRPr="008B4124">
        <w:rPr>
          <w:rFonts w:asciiTheme="majorBidi" w:hAnsiTheme="majorBidi" w:cstheme="majorBidi"/>
        </w:rPr>
        <w:t>Hindricks</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T.</w:t>
      </w:r>
      <w:r w:rsidR="009E0816" w:rsidRPr="008B4124">
        <w:rPr>
          <w:rFonts w:asciiTheme="majorBidi" w:hAnsiTheme="majorBidi" w:cstheme="majorBidi"/>
        </w:rPr>
        <w:t>Potpara</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N.</w:t>
      </w:r>
      <w:r w:rsidR="009E0816" w:rsidRPr="008B4124">
        <w:rPr>
          <w:rFonts w:asciiTheme="majorBidi" w:hAnsiTheme="majorBidi" w:cstheme="majorBidi"/>
        </w:rPr>
        <w:t>Dagres</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E.</w:t>
      </w:r>
      <w:r w:rsidR="009E0816" w:rsidRPr="008B4124">
        <w:rPr>
          <w:rFonts w:asciiTheme="majorBidi" w:hAnsiTheme="majorBidi" w:cstheme="majorBidi"/>
        </w:rPr>
        <w:t>Arbelo</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JJ.</w:t>
      </w:r>
      <w:r w:rsidR="009E0816" w:rsidRPr="008B4124">
        <w:rPr>
          <w:rFonts w:asciiTheme="majorBidi" w:hAnsiTheme="majorBidi" w:cstheme="majorBidi"/>
        </w:rPr>
        <w:t>Bax</w:t>
      </w:r>
      <w:proofErr w:type="spellEnd"/>
      <w:r w:rsidR="009E0816" w:rsidRPr="008B4124">
        <w:rPr>
          <w:rFonts w:asciiTheme="majorBidi" w:hAnsiTheme="majorBidi" w:cstheme="majorBidi"/>
        </w:rPr>
        <w:t xml:space="preserve">, </w:t>
      </w:r>
      <w:proofErr w:type="spellStart"/>
      <w:r w:rsidR="009E0816" w:rsidRPr="008B4124">
        <w:rPr>
          <w:rFonts w:asciiTheme="majorBidi" w:hAnsiTheme="majorBidi" w:cstheme="majorBidi"/>
        </w:rPr>
        <w:t>Blomström-Lundqvist</w:t>
      </w:r>
      <w:proofErr w:type="spellEnd"/>
      <w:r w:rsidR="009E0816" w:rsidRPr="008B4124">
        <w:rPr>
          <w:rFonts w:asciiTheme="majorBidi" w:hAnsiTheme="majorBidi" w:cstheme="majorBidi"/>
        </w:rPr>
        <w:t xml:space="preserve"> C, et al. ESC Scientific Document Group. 2020 ESC Guidelines for the diagnosis and management of atrial fibrillation developed in collaboration with the European Association for Cardio-Thoracic Surgery (EACTS): The Task Force for the diagnosis and management of atrial fibrillation of the European Society of Cardiology (ESC) </w:t>
      </w:r>
      <w:r w:rsidR="009E0816" w:rsidRPr="008B4124">
        <w:rPr>
          <w:rFonts w:asciiTheme="majorBidi" w:hAnsiTheme="majorBidi" w:cstheme="majorBidi"/>
        </w:rPr>
        <w:lastRenderedPageBreak/>
        <w:t xml:space="preserve">Developed with the special contribution of the European Heart Rhythm Association (EHRA) of the ESC. </w:t>
      </w:r>
      <w:proofErr w:type="spellStart"/>
      <w:r w:rsidR="009E0816" w:rsidRPr="008B4124">
        <w:rPr>
          <w:rFonts w:asciiTheme="majorBidi" w:hAnsiTheme="majorBidi" w:cstheme="majorBidi"/>
        </w:rPr>
        <w:t>Eur</w:t>
      </w:r>
      <w:proofErr w:type="spellEnd"/>
      <w:r w:rsidR="009E0816" w:rsidRPr="008B4124">
        <w:rPr>
          <w:rFonts w:asciiTheme="majorBidi" w:hAnsiTheme="majorBidi" w:cstheme="majorBidi"/>
        </w:rPr>
        <w:t xml:space="preserve"> Heart J</w:t>
      </w:r>
      <w:r w:rsidRPr="008B4124">
        <w:rPr>
          <w:rFonts w:asciiTheme="majorBidi" w:hAnsiTheme="majorBidi" w:cstheme="majorBidi"/>
        </w:rPr>
        <w:t>.vol.42</w:t>
      </w:r>
      <w:proofErr w:type="gramStart"/>
      <w:r w:rsidRPr="008B4124">
        <w:rPr>
          <w:rFonts w:asciiTheme="majorBidi" w:hAnsiTheme="majorBidi" w:cstheme="majorBidi"/>
        </w:rPr>
        <w:t>,pp.</w:t>
      </w:r>
      <w:r w:rsidR="009E0816" w:rsidRPr="008B4124">
        <w:rPr>
          <w:rFonts w:asciiTheme="majorBidi" w:hAnsiTheme="majorBidi" w:cstheme="majorBidi"/>
        </w:rPr>
        <w:t>373</w:t>
      </w:r>
      <w:proofErr w:type="gramEnd"/>
      <w:r w:rsidR="009E0816" w:rsidRPr="008B4124">
        <w:rPr>
          <w:rFonts w:asciiTheme="majorBidi" w:hAnsiTheme="majorBidi" w:cstheme="majorBidi"/>
        </w:rPr>
        <w:t>–498</w:t>
      </w:r>
      <w:r w:rsidRPr="008B4124">
        <w:rPr>
          <w:rFonts w:asciiTheme="majorBidi" w:hAnsiTheme="majorBidi" w:cstheme="majorBidi"/>
        </w:rPr>
        <w:t>,2021</w:t>
      </w:r>
      <w:r w:rsidR="009E0816" w:rsidRPr="008B4124">
        <w:rPr>
          <w:rFonts w:asciiTheme="majorBidi" w:hAnsiTheme="majorBidi" w:cstheme="majorBidi"/>
        </w:rPr>
        <w:t xml:space="preserve">. </w:t>
      </w:r>
    </w:p>
    <w:p w14:paraId="03015CB2" w14:textId="4B32D38F" w:rsidR="009E0816" w:rsidRPr="008B4124" w:rsidRDefault="009E0816"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Orvin</w:t>
      </w:r>
      <w:proofErr w:type="spellEnd"/>
      <w:r w:rsidRPr="008B4124">
        <w:rPr>
          <w:rFonts w:asciiTheme="majorBidi" w:hAnsiTheme="majorBidi" w:cstheme="majorBidi"/>
        </w:rPr>
        <w:t xml:space="preserve"> K, </w:t>
      </w:r>
      <w:proofErr w:type="spellStart"/>
      <w:r w:rsidRPr="008B4124">
        <w:rPr>
          <w:rFonts w:asciiTheme="majorBidi" w:hAnsiTheme="majorBidi" w:cstheme="majorBidi"/>
        </w:rPr>
        <w:t>Bental</w:t>
      </w:r>
      <w:proofErr w:type="spellEnd"/>
      <w:r w:rsidRPr="008B4124">
        <w:rPr>
          <w:rFonts w:asciiTheme="majorBidi" w:hAnsiTheme="majorBidi" w:cstheme="majorBidi"/>
        </w:rPr>
        <w:t xml:space="preserve"> T, </w:t>
      </w:r>
      <w:proofErr w:type="spellStart"/>
      <w:r w:rsidRPr="008B4124">
        <w:rPr>
          <w:rFonts w:asciiTheme="majorBidi" w:hAnsiTheme="majorBidi" w:cstheme="majorBidi"/>
        </w:rPr>
        <w:t>Assali</w:t>
      </w:r>
      <w:proofErr w:type="spellEnd"/>
      <w:r w:rsidRPr="008B4124">
        <w:rPr>
          <w:rFonts w:asciiTheme="majorBidi" w:hAnsiTheme="majorBidi" w:cstheme="majorBidi"/>
        </w:rPr>
        <w:t xml:space="preserve"> A, Lev EI, </w:t>
      </w:r>
      <w:proofErr w:type="spellStart"/>
      <w:r w:rsidRPr="008B4124">
        <w:rPr>
          <w:rFonts w:asciiTheme="majorBidi" w:hAnsiTheme="majorBidi" w:cstheme="majorBidi"/>
        </w:rPr>
        <w:t>Vaknin-Assa</w:t>
      </w:r>
      <w:proofErr w:type="spellEnd"/>
      <w:r w:rsidRPr="008B4124">
        <w:rPr>
          <w:rFonts w:asciiTheme="majorBidi" w:hAnsiTheme="majorBidi" w:cstheme="majorBidi"/>
        </w:rPr>
        <w:t xml:space="preserve"> H, </w:t>
      </w:r>
      <w:proofErr w:type="spellStart"/>
      <w:r w:rsidRPr="008B4124">
        <w:rPr>
          <w:rFonts w:asciiTheme="majorBidi" w:hAnsiTheme="majorBidi" w:cstheme="majorBidi"/>
        </w:rPr>
        <w:t>Kornowski</w:t>
      </w:r>
      <w:proofErr w:type="spellEnd"/>
      <w:r w:rsidRPr="008B4124">
        <w:rPr>
          <w:rFonts w:asciiTheme="majorBidi" w:hAnsiTheme="majorBidi" w:cstheme="majorBidi"/>
        </w:rPr>
        <w:t xml:space="preserve"> R. Usefulness of the CHA2DS2-VASC Score to Predict Adverse Outcomes in Patients Having Percutaneous Coronary Intervention. Am J </w:t>
      </w:r>
      <w:proofErr w:type="spellStart"/>
      <w:r w:rsidRPr="008B4124">
        <w:rPr>
          <w:rFonts w:asciiTheme="majorBidi" w:hAnsiTheme="majorBidi" w:cstheme="majorBidi"/>
        </w:rPr>
        <w:t>Cardiol</w:t>
      </w:r>
      <w:proofErr w:type="spellEnd"/>
      <w:r w:rsidRPr="008B4124">
        <w:rPr>
          <w:rFonts w:asciiTheme="majorBidi" w:hAnsiTheme="majorBidi" w:cstheme="majorBidi"/>
        </w:rPr>
        <w:t>. 2016</w:t>
      </w:r>
      <w:proofErr w:type="gramStart"/>
      <w:r w:rsidRPr="008B4124">
        <w:rPr>
          <w:rFonts w:asciiTheme="majorBidi" w:hAnsiTheme="majorBidi" w:cstheme="majorBidi"/>
        </w:rPr>
        <w:t>;117:1433</w:t>
      </w:r>
      <w:proofErr w:type="gramEnd"/>
      <w:r w:rsidRPr="008B4124">
        <w:rPr>
          <w:rFonts w:asciiTheme="majorBidi" w:hAnsiTheme="majorBidi" w:cstheme="majorBidi"/>
        </w:rPr>
        <w:t xml:space="preserve">–8. </w:t>
      </w:r>
      <w:proofErr w:type="spellStart"/>
      <w:proofErr w:type="gramStart"/>
      <w:r w:rsidRPr="008B4124">
        <w:rPr>
          <w:rFonts w:asciiTheme="majorBidi" w:hAnsiTheme="majorBidi" w:cstheme="majorBidi"/>
        </w:rPr>
        <w:t>doi</w:t>
      </w:r>
      <w:proofErr w:type="spellEnd"/>
      <w:proofErr w:type="gramEnd"/>
      <w:r w:rsidRPr="008B4124">
        <w:rPr>
          <w:rFonts w:asciiTheme="majorBidi" w:hAnsiTheme="majorBidi" w:cstheme="majorBidi"/>
        </w:rPr>
        <w:t xml:space="preserve">: 10.1016/j.amjcard.2016.02.010. </w:t>
      </w:r>
    </w:p>
    <w:p w14:paraId="3547FED8" w14:textId="78EDD266" w:rsidR="00AA0CAE" w:rsidRPr="008B4124" w:rsidRDefault="00755FD4" w:rsidP="00AC4D36">
      <w:pPr>
        <w:pStyle w:val="BodyText"/>
        <w:widowControl/>
        <w:numPr>
          <w:ilvl w:val="0"/>
          <w:numId w:val="6"/>
        </w:numPr>
        <w:ind w:left="540"/>
        <w:rPr>
          <w:rFonts w:asciiTheme="majorBidi" w:hAnsiTheme="majorBidi" w:cstheme="majorBidi"/>
        </w:rPr>
      </w:pPr>
      <w:proofErr w:type="spellStart"/>
      <w:r w:rsidRPr="008B4124">
        <w:rPr>
          <w:rFonts w:asciiTheme="majorBidi" w:hAnsiTheme="majorBidi" w:cstheme="majorBidi"/>
        </w:rPr>
        <w:t>SS.</w:t>
      </w:r>
      <w:r w:rsidR="009E0816" w:rsidRPr="008B4124">
        <w:rPr>
          <w:rFonts w:asciiTheme="majorBidi" w:hAnsiTheme="majorBidi" w:cstheme="majorBidi"/>
        </w:rPr>
        <w:t>Huang</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YH.</w:t>
      </w:r>
      <w:r w:rsidR="009E0816" w:rsidRPr="008B4124">
        <w:rPr>
          <w:rFonts w:asciiTheme="majorBidi" w:hAnsiTheme="majorBidi" w:cstheme="majorBidi"/>
        </w:rPr>
        <w:t>Chen</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WL.</w:t>
      </w:r>
      <w:r w:rsidR="009E0816" w:rsidRPr="008B4124">
        <w:rPr>
          <w:rFonts w:asciiTheme="majorBidi" w:hAnsiTheme="majorBidi" w:cstheme="majorBidi"/>
        </w:rPr>
        <w:t>Chan</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PH.</w:t>
      </w:r>
      <w:r w:rsidR="009E0816" w:rsidRPr="008B4124">
        <w:rPr>
          <w:rFonts w:asciiTheme="majorBidi" w:hAnsiTheme="majorBidi" w:cstheme="majorBidi"/>
        </w:rPr>
        <w:t>Huang</w:t>
      </w:r>
      <w:proofErr w:type="spellEnd"/>
      <w:r w:rsidR="009E0816" w:rsidRPr="008B4124">
        <w:rPr>
          <w:rFonts w:asciiTheme="majorBidi" w:hAnsiTheme="majorBidi" w:cstheme="majorBidi"/>
        </w:rPr>
        <w:t xml:space="preserve">, </w:t>
      </w:r>
      <w:proofErr w:type="spellStart"/>
      <w:r w:rsidRPr="008B4124">
        <w:rPr>
          <w:rFonts w:asciiTheme="majorBidi" w:hAnsiTheme="majorBidi" w:cstheme="majorBidi"/>
        </w:rPr>
        <w:t>JW.</w:t>
      </w:r>
      <w:r w:rsidR="009E0816" w:rsidRPr="008B4124">
        <w:rPr>
          <w:rFonts w:asciiTheme="majorBidi" w:hAnsiTheme="majorBidi" w:cstheme="majorBidi"/>
        </w:rPr>
        <w:t>Chen</w:t>
      </w:r>
      <w:proofErr w:type="spellEnd"/>
      <w:r w:rsidR="009E0816" w:rsidRPr="008B4124">
        <w:rPr>
          <w:rFonts w:asciiTheme="majorBidi" w:hAnsiTheme="majorBidi" w:cstheme="majorBidi"/>
        </w:rPr>
        <w:t xml:space="preserve">, </w:t>
      </w:r>
      <w:r w:rsidRPr="008B4124">
        <w:rPr>
          <w:rFonts w:asciiTheme="majorBidi" w:hAnsiTheme="majorBidi" w:cstheme="majorBidi"/>
        </w:rPr>
        <w:t xml:space="preserve">SJ. </w:t>
      </w:r>
      <w:r w:rsidR="009E0816" w:rsidRPr="008B4124">
        <w:rPr>
          <w:rFonts w:asciiTheme="majorBidi" w:hAnsiTheme="majorBidi" w:cstheme="majorBidi"/>
        </w:rPr>
        <w:t>Lin</w:t>
      </w:r>
      <w:r w:rsidRPr="008B4124">
        <w:rPr>
          <w:rFonts w:asciiTheme="majorBidi" w:hAnsiTheme="majorBidi" w:cstheme="majorBidi"/>
        </w:rPr>
        <w:t>,</w:t>
      </w:r>
      <w:r w:rsidR="009E0816" w:rsidRPr="008B4124">
        <w:rPr>
          <w:rFonts w:asciiTheme="majorBidi" w:hAnsiTheme="majorBidi" w:cstheme="majorBidi"/>
        </w:rPr>
        <w:t xml:space="preserve"> Usefulness of the CHADS2 </w:t>
      </w:r>
      <w:proofErr w:type="gramStart"/>
      <w:r w:rsidR="009E0816" w:rsidRPr="008B4124">
        <w:rPr>
          <w:rFonts w:asciiTheme="majorBidi" w:hAnsiTheme="majorBidi" w:cstheme="majorBidi"/>
        </w:rPr>
        <w:t>score</w:t>
      </w:r>
      <w:proofErr w:type="gramEnd"/>
      <w:r w:rsidR="009E0816" w:rsidRPr="008B4124">
        <w:rPr>
          <w:rFonts w:asciiTheme="majorBidi" w:hAnsiTheme="majorBidi" w:cstheme="majorBidi"/>
        </w:rPr>
        <w:t xml:space="preserve"> for prognostic stratification of patients with acute myocardial infarction. Am J Cardiol</w:t>
      </w:r>
      <w:r w:rsidRPr="008B4124">
        <w:rPr>
          <w:rFonts w:asciiTheme="majorBidi" w:hAnsiTheme="majorBidi" w:cstheme="majorBidi"/>
        </w:rPr>
        <w:t>.vol.114</w:t>
      </w:r>
      <w:proofErr w:type="gramStart"/>
      <w:r w:rsidRPr="008B4124">
        <w:rPr>
          <w:rFonts w:asciiTheme="majorBidi" w:hAnsiTheme="majorBidi" w:cstheme="majorBidi"/>
        </w:rPr>
        <w:t>,pp.</w:t>
      </w:r>
      <w:r w:rsidR="009E0816" w:rsidRPr="008B4124">
        <w:rPr>
          <w:rFonts w:asciiTheme="majorBidi" w:hAnsiTheme="majorBidi" w:cstheme="majorBidi"/>
        </w:rPr>
        <w:t>1309</w:t>
      </w:r>
      <w:proofErr w:type="gramEnd"/>
      <w:r w:rsidR="009E0816" w:rsidRPr="008B4124">
        <w:rPr>
          <w:rFonts w:asciiTheme="majorBidi" w:hAnsiTheme="majorBidi" w:cstheme="majorBidi"/>
        </w:rPr>
        <w:t>–14</w:t>
      </w:r>
      <w:r w:rsidRPr="008B4124">
        <w:rPr>
          <w:rFonts w:asciiTheme="majorBidi" w:hAnsiTheme="majorBidi" w:cstheme="majorBidi"/>
        </w:rPr>
        <w:t>,2014</w:t>
      </w:r>
      <w:r w:rsidR="009E0816" w:rsidRPr="008B4124">
        <w:rPr>
          <w:rFonts w:asciiTheme="majorBidi" w:hAnsiTheme="majorBidi" w:cstheme="majorBidi"/>
        </w:rPr>
        <w:t xml:space="preserve">. </w:t>
      </w:r>
    </w:p>
    <w:p w14:paraId="26086EF3" w14:textId="5193B85D" w:rsidR="00AA0CAE" w:rsidRPr="008B4124" w:rsidRDefault="00AA0CAE" w:rsidP="008B4124">
      <w:pPr>
        <w:pStyle w:val="BodyText"/>
        <w:widowControl/>
        <w:ind w:left="0"/>
        <w:rPr>
          <w:rFonts w:asciiTheme="majorBidi" w:hAnsiTheme="majorBidi" w:cstheme="majorBidi"/>
        </w:rPr>
      </w:pPr>
    </w:p>
    <w:p w14:paraId="144E2D80" w14:textId="77777777" w:rsidR="00AC4D36" w:rsidRDefault="00AC4D36" w:rsidP="008B4124">
      <w:pPr>
        <w:pStyle w:val="BodyText"/>
        <w:widowControl/>
        <w:ind w:left="0"/>
        <w:rPr>
          <w:rFonts w:asciiTheme="majorBidi" w:hAnsiTheme="majorBidi" w:cstheme="majorBidi"/>
        </w:rPr>
        <w:sectPr w:rsidR="00AC4D36" w:rsidSect="00AC4D36">
          <w:type w:val="continuous"/>
          <w:pgSz w:w="11910" w:h="16840" w:code="9"/>
          <w:pgMar w:top="1440" w:right="1110" w:bottom="1440" w:left="1080" w:header="706" w:footer="706" w:gutter="0"/>
          <w:cols w:num="2" w:space="706"/>
        </w:sectPr>
      </w:pPr>
    </w:p>
    <w:p w14:paraId="2C9528E2" w14:textId="09E0E8C3" w:rsidR="00AA0CAE" w:rsidRPr="008B4124" w:rsidRDefault="00AA0CAE" w:rsidP="008B4124">
      <w:pPr>
        <w:pStyle w:val="BodyText"/>
        <w:widowControl/>
        <w:ind w:left="0"/>
        <w:rPr>
          <w:rFonts w:asciiTheme="majorBidi" w:hAnsiTheme="majorBidi" w:cstheme="majorBidi"/>
        </w:rPr>
      </w:pPr>
    </w:p>
    <w:sectPr w:rsidR="00AA0CAE" w:rsidRPr="008B4124" w:rsidSect="00AC4D36">
      <w:type w:val="continuous"/>
      <w:pgSz w:w="11910" w:h="16840" w:code="9"/>
      <w:pgMar w:top="1440" w:right="1110" w:bottom="1440" w:left="1080" w:header="706" w:footer="706" w:gutter="0"/>
      <w:cols w:space="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B64AE" w14:textId="77777777" w:rsidR="00F12BC4" w:rsidRDefault="00F12BC4">
      <w:r>
        <w:separator/>
      </w:r>
    </w:p>
  </w:endnote>
  <w:endnote w:type="continuationSeparator" w:id="0">
    <w:p w14:paraId="1AFFFFEB" w14:textId="77777777" w:rsidR="00F12BC4" w:rsidRDefault="00F1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320E6" w14:textId="77777777" w:rsidR="0044492D" w:rsidRPr="0044492D" w:rsidRDefault="0044492D" w:rsidP="0044492D">
    <w:pPr>
      <w:widowControl/>
      <w:tabs>
        <w:tab w:val="center" w:pos="4680"/>
        <w:tab w:val="right" w:pos="9360"/>
      </w:tabs>
      <w:autoSpaceDE/>
      <w:autoSpaceDN/>
      <w:jc w:val="right"/>
      <w:rPr>
        <w:rFonts w:eastAsia="Calibri"/>
      </w:rPr>
    </w:pPr>
    <w:proofErr w:type="spellStart"/>
    <w:r w:rsidRPr="0044492D">
      <w:rPr>
        <w:rFonts w:eastAsia="Calibri"/>
        <w:b/>
        <w:bCs/>
        <w:sz w:val="20"/>
        <w:szCs w:val="20"/>
      </w:rPr>
      <w:t>Benha</w:t>
    </w:r>
    <w:proofErr w:type="spellEnd"/>
    <w:r w:rsidRPr="0044492D">
      <w:rPr>
        <w:rFonts w:eastAsia="Calibri"/>
        <w:b/>
        <w:bCs/>
        <w:sz w:val="20"/>
        <w:szCs w:val="20"/>
      </w:rPr>
      <w:t xml:space="preserve"> Journal Of Applied Sciences, Vol. (7) Issue (2) (2022</w:t>
    </w:r>
    <w:r w:rsidRPr="0044492D">
      <w:rPr>
        <w:rFonts w:eastAsia="Calibri" w:hint="cs"/>
        <w:b/>
        <w:bCs/>
        <w:sz w:val="20"/>
        <w:szCs w:val="20"/>
        <w:rt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1E854" w14:textId="77777777" w:rsidR="0044492D" w:rsidRPr="0044492D" w:rsidRDefault="0044492D" w:rsidP="0044492D">
    <w:pPr>
      <w:widowControl/>
      <w:tabs>
        <w:tab w:val="center" w:pos="4680"/>
        <w:tab w:val="right" w:pos="9360"/>
      </w:tabs>
      <w:autoSpaceDE/>
      <w:autoSpaceDN/>
      <w:jc w:val="right"/>
      <w:rPr>
        <w:rFonts w:eastAsia="Calibri"/>
      </w:rPr>
    </w:pPr>
    <w:proofErr w:type="spellStart"/>
    <w:r w:rsidRPr="0044492D">
      <w:rPr>
        <w:rFonts w:eastAsia="Calibri"/>
        <w:b/>
        <w:bCs/>
        <w:sz w:val="20"/>
        <w:szCs w:val="20"/>
      </w:rPr>
      <w:t>Benha</w:t>
    </w:r>
    <w:proofErr w:type="spellEnd"/>
    <w:r w:rsidRPr="0044492D">
      <w:rPr>
        <w:rFonts w:eastAsia="Calibri"/>
        <w:b/>
        <w:bCs/>
        <w:sz w:val="20"/>
        <w:szCs w:val="20"/>
      </w:rPr>
      <w:t xml:space="preserve"> Journal Of Applied Sciences, Vol. (7) Issue (2) (2022</w:t>
    </w:r>
    <w:r w:rsidRPr="0044492D">
      <w:rPr>
        <w:rFonts w:eastAsia="Calibri" w:hint="cs"/>
        <w:b/>
        <w:bCs/>
        <w:sz w:val="20"/>
        <w:szCs w:val="20"/>
        <w:rt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A928" w14:textId="77777777" w:rsidR="0044492D" w:rsidRPr="0044492D" w:rsidRDefault="0044492D" w:rsidP="0044492D">
    <w:pPr>
      <w:widowControl/>
      <w:tabs>
        <w:tab w:val="center" w:pos="4680"/>
        <w:tab w:val="right" w:pos="9360"/>
      </w:tabs>
      <w:autoSpaceDE/>
      <w:autoSpaceDN/>
      <w:jc w:val="right"/>
      <w:rPr>
        <w:rFonts w:eastAsia="Calibri"/>
      </w:rPr>
    </w:pPr>
    <w:proofErr w:type="spellStart"/>
    <w:r w:rsidRPr="0044492D">
      <w:rPr>
        <w:rFonts w:eastAsia="Calibri"/>
        <w:b/>
        <w:bCs/>
        <w:sz w:val="20"/>
        <w:szCs w:val="20"/>
      </w:rPr>
      <w:t>Benha</w:t>
    </w:r>
    <w:proofErr w:type="spellEnd"/>
    <w:r w:rsidRPr="0044492D">
      <w:rPr>
        <w:rFonts w:eastAsia="Calibri"/>
        <w:b/>
        <w:bCs/>
        <w:sz w:val="20"/>
        <w:szCs w:val="20"/>
      </w:rPr>
      <w:t xml:space="preserve"> Journal Of Applied Sciences, Vol. (7) Issue (2) (2022</w:t>
    </w:r>
    <w:r w:rsidRPr="0044492D">
      <w:rPr>
        <w:rFonts w:eastAsia="Calibri" w:hint="cs"/>
        <w:b/>
        <w:bCs/>
        <w:sz w:val="20"/>
        <w:szCs w:val="20"/>
        <w:rt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6CB74" w14:textId="77777777" w:rsidR="00F12BC4" w:rsidRDefault="00F12BC4">
      <w:r>
        <w:separator/>
      </w:r>
    </w:p>
  </w:footnote>
  <w:footnote w:type="continuationSeparator" w:id="0">
    <w:p w14:paraId="40CA25F5" w14:textId="77777777" w:rsidR="00F12BC4" w:rsidRDefault="00F12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0"/>
        <w:szCs w:val="20"/>
      </w:rPr>
      <w:id w:val="-1291049880"/>
      <w:docPartObj>
        <w:docPartGallery w:val="Page Numbers (Top of Page)"/>
        <w:docPartUnique/>
      </w:docPartObj>
    </w:sdtPr>
    <w:sdtEndPr>
      <w:rPr>
        <w:noProof/>
      </w:rPr>
    </w:sdtEndPr>
    <w:sdtContent>
      <w:p w14:paraId="2B628E30" w14:textId="69131EE5" w:rsidR="0044492D" w:rsidRPr="0044492D" w:rsidRDefault="0044492D" w:rsidP="0044492D">
        <w:pPr>
          <w:pStyle w:val="Header"/>
          <w:rPr>
            <w:b/>
            <w:bCs/>
            <w:sz w:val="20"/>
            <w:szCs w:val="20"/>
          </w:rPr>
        </w:pPr>
        <w:r w:rsidRPr="0044492D">
          <w:rPr>
            <w:b/>
            <w:bCs/>
            <w:sz w:val="20"/>
            <w:szCs w:val="20"/>
          </w:rPr>
          <w:fldChar w:fldCharType="begin"/>
        </w:r>
        <w:r w:rsidRPr="0044492D">
          <w:rPr>
            <w:b/>
            <w:bCs/>
            <w:sz w:val="20"/>
            <w:szCs w:val="20"/>
          </w:rPr>
          <w:instrText xml:space="preserve"> PAGE   \* MERGEFORMAT </w:instrText>
        </w:r>
        <w:r w:rsidRPr="0044492D">
          <w:rPr>
            <w:b/>
            <w:bCs/>
            <w:sz w:val="20"/>
            <w:szCs w:val="20"/>
          </w:rPr>
          <w:fldChar w:fldCharType="separate"/>
        </w:r>
        <w:r>
          <w:rPr>
            <w:b/>
            <w:bCs/>
            <w:noProof/>
            <w:sz w:val="20"/>
            <w:szCs w:val="20"/>
          </w:rPr>
          <w:t>108</w:t>
        </w:r>
        <w:r w:rsidRPr="0044492D">
          <w:rPr>
            <w:b/>
            <w:bCs/>
            <w:noProof/>
            <w:sz w:val="20"/>
            <w:szCs w:val="20"/>
          </w:rPr>
          <w:fldChar w:fldCharType="end"/>
        </w:r>
        <w:r w:rsidRPr="0044492D">
          <w:t xml:space="preserve"> </w:t>
        </w:r>
        <w:r>
          <w:t xml:space="preserve">           </w:t>
        </w:r>
        <w:r w:rsidRPr="0044492D">
          <w:rPr>
            <w:b/>
            <w:bCs/>
            <w:noProof/>
            <w:sz w:val="20"/>
            <w:szCs w:val="20"/>
          </w:rPr>
          <w:t>Correlation between CHA2DS2VASc Score and LV Longitudinal Strain in Acute Coronary Syndrome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0"/>
        <w:szCs w:val="20"/>
      </w:rPr>
      <w:id w:val="1206056594"/>
      <w:docPartObj>
        <w:docPartGallery w:val="Page Numbers (Top of Page)"/>
        <w:docPartUnique/>
      </w:docPartObj>
    </w:sdtPr>
    <w:sdtEndPr>
      <w:rPr>
        <w:noProof/>
      </w:rPr>
    </w:sdtEndPr>
    <w:sdtContent>
      <w:p w14:paraId="2EF700F3" w14:textId="2DC5691D" w:rsidR="0044492D" w:rsidRPr="0044492D" w:rsidRDefault="0044492D" w:rsidP="0044492D">
        <w:pPr>
          <w:pStyle w:val="Header"/>
          <w:rPr>
            <w:b/>
            <w:bCs/>
            <w:sz w:val="20"/>
            <w:szCs w:val="20"/>
          </w:rPr>
        </w:pPr>
        <w:proofErr w:type="spellStart"/>
        <w:r w:rsidRPr="0044492D">
          <w:rPr>
            <w:b/>
            <w:bCs/>
            <w:sz w:val="20"/>
            <w:szCs w:val="20"/>
          </w:rPr>
          <w:t>S.A.Goda</w:t>
        </w:r>
        <w:proofErr w:type="spellEnd"/>
        <w:r w:rsidRPr="0044492D">
          <w:rPr>
            <w:b/>
            <w:bCs/>
            <w:sz w:val="20"/>
            <w:szCs w:val="20"/>
          </w:rPr>
          <w:t xml:space="preserve">, </w:t>
        </w:r>
        <w:proofErr w:type="spellStart"/>
        <w:r w:rsidRPr="0044492D">
          <w:rPr>
            <w:b/>
            <w:bCs/>
            <w:sz w:val="20"/>
            <w:szCs w:val="20"/>
          </w:rPr>
          <w:t>E.A.El</w:t>
        </w:r>
        <w:proofErr w:type="spellEnd"/>
        <w:r w:rsidRPr="0044492D">
          <w:rPr>
            <w:b/>
            <w:bCs/>
            <w:sz w:val="20"/>
            <w:szCs w:val="20"/>
          </w:rPr>
          <w:t xml:space="preserve"> </w:t>
        </w:r>
        <w:proofErr w:type="spellStart"/>
        <w:r w:rsidRPr="0044492D">
          <w:rPr>
            <w:b/>
            <w:bCs/>
            <w:sz w:val="20"/>
            <w:szCs w:val="20"/>
          </w:rPr>
          <w:t>Drky</w:t>
        </w:r>
        <w:proofErr w:type="spellEnd"/>
        <w:r w:rsidRPr="0044492D">
          <w:rPr>
            <w:b/>
            <w:bCs/>
            <w:sz w:val="20"/>
            <w:szCs w:val="20"/>
          </w:rPr>
          <w:t xml:space="preserve">, </w:t>
        </w:r>
        <w:proofErr w:type="spellStart"/>
        <w:r w:rsidRPr="0044492D">
          <w:rPr>
            <w:b/>
            <w:bCs/>
            <w:sz w:val="20"/>
            <w:szCs w:val="20"/>
          </w:rPr>
          <w:t>S.A.Moustafa</w:t>
        </w:r>
        <w:proofErr w:type="spellEnd"/>
        <w:r w:rsidRPr="0044492D">
          <w:rPr>
            <w:b/>
            <w:bCs/>
            <w:sz w:val="20"/>
            <w:szCs w:val="20"/>
          </w:rPr>
          <w:t xml:space="preserve"> and </w:t>
        </w:r>
        <w:proofErr w:type="spellStart"/>
        <w:r w:rsidRPr="0044492D">
          <w:rPr>
            <w:b/>
            <w:bCs/>
            <w:sz w:val="20"/>
            <w:szCs w:val="20"/>
          </w:rPr>
          <w:t>H.I.Allam</w:t>
        </w:r>
        <w:proofErr w:type="spellEnd"/>
        <w:r>
          <w:rPr>
            <w:b/>
            <w:bCs/>
            <w:sz w:val="20"/>
            <w:szCs w:val="20"/>
          </w:rPr>
          <w:t xml:space="preserve">                                                                                                </w:t>
        </w:r>
        <w:r w:rsidRPr="0044492D">
          <w:rPr>
            <w:b/>
            <w:bCs/>
            <w:sz w:val="20"/>
            <w:szCs w:val="20"/>
          </w:rPr>
          <w:t xml:space="preserve"> </w:t>
        </w:r>
        <w:r w:rsidRPr="0044492D">
          <w:rPr>
            <w:b/>
            <w:bCs/>
            <w:sz w:val="20"/>
            <w:szCs w:val="20"/>
          </w:rPr>
          <w:fldChar w:fldCharType="begin"/>
        </w:r>
        <w:r w:rsidRPr="0044492D">
          <w:rPr>
            <w:b/>
            <w:bCs/>
            <w:sz w:val="20"/>
            <w:szCs w:val="20"/>
          </w:rPr>
          <w:instrText xml:space="preserve"> PAGE   \* MERGEFORMAT </w:instrText>
        </w:r>
        <w:r w:rsidRPr="0044492D">
          <w:rPr>
            <w:b/>
            <w:bCs/>
            <w:sz w:val="20"/>
            <w:szCs w:val="20"/>
          </w:rPr>
          <w:fldChar w:fldCharType="separate"/>
        </w:r>
        <w:r>
          <w:rPr>
            <w:b/>
            <w:bCs/>
            <w:noProof/>
            <w:sz w:val="20"/>
            <w:szCs w:val="20"/>
          </w:rPr>
          <w:t>107</w:t>
        </w:r>
        <w:r w:rsidRPr="0044492D">
          <w:rPr>
            <w:b/>
            <w:bCs/>
            <w:noProof/>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52F33" w14:textId="2E2E6CF2" w:rsidR="0044492D" w:rsidRPr="006516F1" w:rsidRDefault="0044492D" w:rsidP="0044492D">
    <w:pPr>
      <w:autoSpaceDE/>
      <w:autoSpaceDN/>
      <w:rPr>
        <w:b/>
        <w:bCs/>
        <w:color w:val="000000"/>
        <w:sz w:val="20"/>
        <w:szCs w:val="20"/>
        <w:lang w:eastAsia="ar-SA"/>
      </w:rPr>
    </w:pPr>
    <w:proofErr w:type="spellStart"/>
    <w:r w:rsidRPr="006516F1">
      <w:rPr>
        <w:b/>
        <w:bCs/>
        <w:sz w:val="20"/>
        <w:szCs w:val="20"/>
        <w:lang w:eastAsia="ar-SA"/>
      </w:rPr>
      <w:t>Benha</w:t>
    </w:r>
    <w:proofErr w:type="spellEnd"/>
    <w:r w:rsidRPr="006516F1">
      <w:rPr>
        <w:b/>
        <w:bCs/>
        <w:sz w:val="20"/>
        <w:szCs w:val="20"/>
        <w:lang w:eastAsia="ar-SA"/>
      </w:rPr>
      <w:t xml:space="preserve"> Journal of Applied Sciences (BJAS)                   </w:t>
    </w:r>
    <w:r w:rsidRPr="006516F1">
      <w:rPr>
        <w:b/>
        <w:bCs/>
        <w:color w:val="000000"/>
        <w:sz w:val="20"/>
        <w:szCs w:val="20"/>
        <w:lang w:eastAsia="ar-SA"/>
      </w:rPr>
      <w:t xml:space="preserve">                                                        </w:t>
    </w:r>
    <w:r>
      <w:rPr>
        <w:b/>
        <w:bCs/>
        <w:color w:val="000000"/>
        <w:sz w:val="20"/>
        <w:szCs w:val="20"/>
        <w:lang w:eastAsia="ar-SA"/>
      </w:rPr>
      <w:t xml:space="preserve"> </w:t>
    </w:r>
    <w:r>
      <w:rPr>
        <w:b/>
        <w:bCs/>
        <w:color w:val="000000"/>
        <w:sz w:val="20"/>
        <w:szCs w:val="20"/>
        <w:lang w:eastAsia="ar-SA"/>
      </w:rPr>
      <w:t xml:space="preserve">  </w:t>
    </w:r>
    <w:r>
      <w:rPr>
        <w:b/>
        <w:bCs/>
        <w:color w:val="000000"/>
        <w:sz w:val="20"/>
        <w:szCs w:val="20"/>
        <w:lang w:eastAsia="ar-SA"/>
      </w:rPr>
      <w:t xml:space="preserve"> </w:t>
    </w:r>
    <w:r w:rsidRPr="006516F1">
      <w:rPr>
        <w:b/>
        <w:bCs/>
        <w:color w:val="000000"/>
        <w:sz w:val="20"/>
        <w:szCs w:val="20"/>
        <w:lang w:eastAsia="ar-SA"/>
      </w:rPr>
      <w:t xml:space="preserve">  print: ISSN 2356–9751 </w:t>
    </w:r>
  </w:p>
  <w:p w14:paraId="7BF0B2DB" w14:textId="08670A5A" w:rsidR="0044492D" w:rsidRPr="006516F1" w:rsidRDefault="0044492D" w:rsidP="0044492D">
    <w:pPr>
      <w:autoSpaceDE/>
      <w:autoSpaceDN/>
      <w:rPr>
        <w:b/>
        <w:bCs/>
        <w:color w:val="000000"/>
        <w:sz w:val="20"/>
        <w:szCs w:val="20"/>
        <w:lang w:eastAsia="ar-SA"/>
      </w:rPr>
    </w:pPr>
    <w:r w:rsidRPr="006516F1">
      <w:rPr>
        <w:b/>
        <w:bCs/>
        <w:sz w:val="20"/>
        <w:szCs w:val="20"/>
        <w:lang w:eastAsia="ar-SA" w:bidi="ar-EG"/>
      </w:rPr>
      <w:t xml:space="preserve">Vol. (7) Issue (2) (2022), </w:t>
    </w:r>
    <w:r w:rsidRPr="006516F1">
      <w:rPr>
        <w:b/>
        <w:bCs/>
        <w:color w:val="000000"/>
        <w:sz w:val="20"/>
        <w:szCs w:val="20"/>
        <w:lang w:eastAsia="ar-SA" w:bidi="ar-EG"/>
      </w:rPr>
      <w:t>(</w:t>
    </w:r>
    <w:r>
      <w:rPr>
        <w:b/>
        <w:bCs/>
        <w:color w:val="000000"/>
        <w:sz w:val="20"/>
        <w:szCs w:val="20"/>
        <w:lang w:eastAsia="ar-SA" w:bidi="ar-EG"/>
      </w:rPr>
      <w:t>105</w:t>
    </w:r>
    <w:r w:rsidRPr="006516F1">
      <w:rPr>
        <w:b/>
        <w:bCs/>
        <w:color w:val="000000"/>
        <w:sz w:val="20"/>
        <w:szCs w:val="20"/>
        <w:lang w:eastAsia="ar-SA" w:bidi="ar-EG"/>
      </w:rPr>
      <w:t xml:space="preserve">- </w:t>
    </w:r>
    <w:r>
      <w:rPr>
        <w:b/>
        <w:bCs/>
        <w:color w:val="000000"/>
        <w:sz w:val="20"/>
        <w:szCs w:val="20"/>
        <w:lang w:eastAsia="ar-SA" w:bidi="ar-EG"/>
      </w:rPr>
      <w:t>108</w:t>
    </w:r>
    <w:r>
      <w:rPr>
        <w:b/>
        <w:bCs/>
        <w:color w:val="000000"/>
        <w:sz w:val="20"/>
        <w:szCs w:val="20"/>
        <w:lang w:eastAsia="ar-SA" w:bidi="ar-EG"/>
      </w:rPr>
      <w:t xml:space="preserve">)       </w:t>
    </w:r>
    <w:r w:rsidRPr="006516F1">
      <w:rPr>
        <w:b/>
        <w:bCs/>
        <w:color w:val="000000"/>
        <w:sz w:val="20"/>
        <w:szCs w:val="20"/>
        <w:lang w:eastAsia="ar-SA" w:bidi="ar-EG"/>
      </w:rPr>
      <w:t xml:space="preserve">                  </w:t>
    </w:r>
    <w:r w:rsidRPr="006516F1">
      <w:rPr>
        <w:b/>
        <w:bCs/>
        <w:color w:val="000000"/>
        <w:sz w:val="20"/>
        <w:szCs w:val="20"/>
        <w:lang w:eastAsia="ar-SA"/>
      </w:rPr>
      <w:t xml:space="preserve">                                             </w:t>
    </w:r>
    <w:r>
      <w:rPr>
        <w:b/>
        <w:bCs/>
        <w:color w:val="000000"/>
        <w:sz w:val="20"/>
        <w:szCs w:val="20"/>
        <w:lang w:eastAsia="ar-SA"/>
      </w:rPr>
      <w:t xml:space="preserve"> </w:t>
    </w:r>
    <w:r w:rsidRPr="006516F1">
      <w:rPr>
        <w:b/>
        <w:bCs/>
        <w:color w:val="000000"/>
        <w:sz w:val="20"/>
        <w:szCs w:val="20"/>
        <w:lang w:eastAsia="ar-SA"/>
      </w:rPr>
      <w:t xml:space="preserve">                    </w:t>
    </w:r>
    <w:r>
      <w:rPr>
        <w:b/>
        <w:bCs/>
        <w:color w:val="000000"/>
        <w:sz w:val="20"/>
        <w:szCs w:val="20"/>
        <w:lang w:eastAsia="ar-SA"/>
      </w:rPr>
      <w:t xml:space="preserve">  </w:t>
    </w:r>
    <w:r w:rsidRPr="006516F1">
      <w:rPr>
        <w:b/>
        <w:bCs/>
        <w:color w:val="000000"/>
        <w:sz w:val="20"/>
        <w:szCs w:val="20"/>
        <w:lang w:eastAsia="ar-SA"/>
      </w:rPr>
      <w:t xml:space="preserve">  online: ISSN 2356–976x</w:t>
    </w:r>
  </w:p>
  <w:p w14:paraId="5C0A7B03" w14:textId="77777777" w:rsidR="0044492D" w:rsidRPr="006516F1" w:rsidRDefault="0044492D" w:rsidP="0044492D">
    <w:pPr>
      <w:tabs>
        <w:tab w:val="center" w:pos="4680"/>
        <w:tab w:val="right" w:pos="9360"/>
      </w:tabs>
      <w:autoSpaceDE/>
      <w:autoSpaceDN/>
      <w:jc w:val="center"/>
      <w:rPr>
        <w:b/>
        <w:bCs/>
        <w:color w:val="000000"/>
        <w:sz w:val="20"/>
        <w:szCs w:val="20"/>
        <w:lang w:eastAsia="ar-SA"/>
      </w:rPr>
    </w:pPr>
    <w:hyperlink r:id="rId1" w:history="1">
      <w:r w:rsidRPr="006516F1">
        <w:rPr>
          <w:b/>
          <w:bCs/>
          <w:color w:val="000000"/>
          <w:sz w:val="20"/>
          <w:szCs w:val="20"/>
          <w:lang w:eastAsia="ar-SA"/>
        </w:rPr>
        <w:t>http://bjas.journals.ekb.eg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716185E"/>
    <w:lvl w:ilvl="0" w:tplc="3C26DB72">
      <w:start w:val="1"/>
      <w:numFmt w:val="decimal"/>
      <w:lvlText w:val="%1."/>
      <w:lvlJc w:val="left"/>
      <w:pPr>
        <w:ind w:left="485" w:hanging="201"/>
      </w:pPr>
      <w:rPr>
        <w:rFonts w:ascii="Times New Roman" w:eastAsia="Times New Roman" w:hAnsi="Times New Roman" w:cs="Times New Roman" w:hint="default"/>
        <w:b/>
        <w:bCs/>
        <w:spacing w:val="0"/>
        <w:w w:val="99"/>
        <w:sz w:val="20"/>
        <w:szCs w:val="20"/>
        <w:lang w:val="en-US" w:eastAsia="en-US" w:bidi="ar-SA"/>
      </w:rPr>
    </w:lvl>
    <w:lvl w:ilvl="1" w:tplc="4BD0D496">
      <w:start w:val="1"/>
      <w:numFmt w:val="decimal"/>
      <w:lvlText w:val="[%2]"/>
      <w:lvlJc w:val="left"/>
      <w:pPr>
        <w:ind w:left="1360" w:hanging="360"/>
      </w:pPr>
      <w:rPr>
        <w:rFonts w:ascii="Times New Roman" w:eastAsia="Times New Roman" w:hAnsi="Times New Roman" w:cs="Times New Roman" w:hint="default"/>
        <w:w w:val="99"/>
        <w:sz w:val="20"/>
        <w:szCs w:val="20"/>
        <w:lang w:val="en-US" w:eastAsia="en-US" w:bidi="ar-SA"/>
      </w:rPr>
    </w:lvl>
    <w:lvl w:ilvl="2" w:tplc="05FE2FAE">
      <w:start w:val="1"/>
      <w:numFmt w:val="bullet"/>
      <w:lvlText w:val="•"/>
      <w:lvlJc w:val="left"/>
      <w:pPr>
        <w:ind w:left="1201" w:hanging="360"/>
      </w:pPr>
      <w:rPr>
        <w:rFonts w:hint="default"/>
        <w:lang w:val="en-US" w:eastAsia="en-US" w:bidi="ar-SA"/>
      </w:rPr>
    </w:lvl>
    <w:lvl w:ilvl="3" w:tplc="AC8AD246">
      <w:start w:val="1"/>
      <w:numFmt w:val="bullet"/>
      <w:lvlText w:val="•"/>
      <w:lvlJc w:val="left"/>
      <w:pPr>
        <w:ind w:left="1043" w:hanging="360"/>
      </w:pPr>
      <w:rPr>
        <w:rFonts w:hint="default"/>
        <w:lang w:val="en-US" w:eastAsia="en-US" w:bidi="ar-SA"/>
      </w:rPr>
    </w:lvl>
    <w:lvl w:ilvl="4" w:tplc="850A46DC">
      <w:start w:val="1"/>
      <w:numFmt w:val="bullet"/>
      <w:lvlText w:val="•"/>
      <w:lvlJc w:val="left"/>
      <w:pPr>
        <w:ind w:left="884" w:hanging="360"/>
      </w:pPr>
      <w:rPr>
        <w:rFonts w:hint="default"/>
        <w:lang w:val="en-US" w:eastAsia="en-US" w:bidi="ar-SA"/>
      </w:rPr>
    </w:lvl>
    <w:lvl w:ilvl="5" w:tplc="C4CC50AC">
      <w:start w:val="1"/>
      <w:numFmt w:val="bullet"/>
      <w:lvlText w:val="•"/>
      <w:lvlJc w:val="left"/>
      <w:pPr>
        <w:ind w:left="726" w:hanging="360"/>
      </w:pPr>
      <w:rPr>
        <w:rFonts w:hint="default"/>
        <w:lang w:val="en-US" w:eastAsia="en-US" w:bidi="ar-SA"/>
      </w:rPr>
    </w:lvl>
    <w:lvl w:ilvl="6" w:tplc="6BF63436">
      <w:start w:val="1"/>
      <w:numFmt w:val="bullet"/>
      <w:lvlText w:val="•"/>
      <w:lvlJc w:val="left"/>
      <w:pPr>
        <w:ind w:left="567" w:hanging="360"/>
      </w:pPr>
      <w:rPr>
        <w:rFonts w:hint="default"/>
        <w:lang w:val="en-US" w:eastAsia="en-US" w:bidi="ar-SA"/>
      </w:rPr>
    </w:lvl>
    <w:lvl w:ilvl="7" w:tplc="52F26996">
      <w:start w:val="1"/>
      <w:numFmt w:val="bullet"/>
      <w:lvlText w:val="•"/>
      <w:lvlJc w:val="left"/>
      <w:pPr>
        <w:ind w:left="409" w:hanging="360"/>
      </w:pPr>
      <w:rPr>
        <w:rFonts w:hint="default"/>
        <w:lang w:val="en-US" w:eastAsia="en-US" w:bidi="ar-SA"/>
      </w:rPr>
    </w:lvl>
    <w:lvl w:ilvl="8" w:tplc="2AB60BD2">
      <w:start w:val="1"/>
      <w:numFmt w:val="bullet"/>
      <w:lvlText w:val="•"/>
      <w:lvlJc w:val="left"/>
      <w:pPr>
        <w:ind w:left="250" w:hanging="360"/>
      </w:pPr>
      <w:rPr>
        <w:rFonts w:hint="default"/>
        <w:lang w:val="en-US" w:eastAsia="en-US" w:bidi="ar-SA"/>
      </w:rPr>
    </w:lvl>
  </w:abstractNum>
  <w:abstractNum w:abstractNumId="1">
    <w:nsid w:val="00000002"/>
    <w:multiLevelType w:val="hybridMultilevel"/>
    <w:tmpl w:val="6A70A18A"/>
    <w:lvl w:ilvl="0" w:tplc="CA76AF9C">
      <w:start w:val="5"/>
      <w:numFmt w:val="decimal"/>
      <w:lvlText w:val="%1."/>
      <w:lvlJc w:val="left"/>
      <w:pPr>
        <w:ind w:left="644" w:hanging="360"/>
      </w:pPr>
      <w:rPr>
        <w:rFonts w:hint="default"/>
      </w:rPr>
    </w:lvl>
    <w:lvl w:ilvl="1" w:tplc="04090019">
      <w:start w:val="1"/>
      <w:numFmt w:val="lowerLetter"/>
      <w:lvlText w:val="%2."/>
      <w:lvlJc w:val="left"/>
      <w:pPr>
        <w:ind w:left="1210"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0000007"/>
    <w:multiLevelType w:val="hybridMultilevel"/>
    <w:tmpl w:val="AA40063A"/>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2B94198A"/>
    <w:multiLevelType w:val="hybridMultilevel"/>
    <w:tmpl w:val="BB7E8924"/>
    <w:lvl w:ilvl="0" w:tplc="C4A2FC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7508B"/>
    <w:multiLevelType w:val="hybridMultilevel"/>
    <w:tmpl w:val="C716185E"/>
    <w:lvl w:ilvl="0" w:tplc="3C26DB72">
      <w:start w:val="1"/>
      <w:numFmt w:val="decimal"/>
      <w:lvlText w:val="%1."/>
      <w:lvlJc w:val="left"/>
      <w:pPr>
        <w:ind w:left="485" w:hanging="201"/>
      </w:pPr>
      <w:rPr>
        <w:rFonts w:ascii="Times New Roman" w:eastAsia="Times New Roman" w:hAnsi="Times New Roman" w:cs="Times New Roman" w:hint="default"/>
        <w:b/>
        <w:bCs/>
        <w:spacing w:val="0"/>
        <w:w w:val="99"/>
        <w:sz w:val="20"/>
        <w:szCs w:val="20"/>
        <w:lang w:val="en-US" w:eastAsia="en-US" w:bidi="ar-SA"/>
      </w:rPr>
    </w:lvl>
    <w:lvl w:ilvl="1" w:tplc="4BD0D496">
      <w:start w:val="1"/>
      <w:numFmt w:val="decimal"/>
      <w:lvlText w:val="[%2]"/>
      <w:lvlJc w:val="left"/>
      <w:pPr>
        <w:ind w:left="1360" w:hanging="360"/>
      </w:pPr>
      <w:rPr>
        <w:rFonts w:ascii="Times New Roman" w:eastAsia="Times New Roman" w:hAnsi="Times New Roman" w:cs="Times New Roman" w:hint="default"/>
        <w:w w:val="99"/>
        <w:sz w:val="20"/>
        <w:szCs w:val="20"/>
        <w:lang w:val="en-US" w:eastAsia="en-US" w:bidi="ar-SA"/>
      </w:rPr>
    </w:lvl>
    <w:lvl w:ilvl="2" w:tplc="05FE2FAE">
      <w:start w:val="1"/>
      <w:numFmt w:val="bullet"/>
      <w:lvlText w:val="•"/>
      <w:lvlJc w:val="left"/>
      <w:pPr>
        <w:ind w:left="1201" w:hanging="360"/>
      </w:pPr>
      <w:rPr>
        <w:rFonts w:hint="default"/>
        <w:lang w:val="en-US" w:eastAsia="en-US" w:bidi="ar-SA"/>
      </w:rPr>
    </w:lvl>
    <w:lvl w:ilvl="3" w:tplc="AC8AD246">
      <w:start w:val="1"/>
      <w:numFmt w:val="bullet"/>
      <w:lvlText w:val="•"/>
      <w:lvlJc w:val="left"/>
      <w:pPr>
        <w:ind w:left="1043" w:hanging="360"/>
      </w:pPr>
      <w:rPr>
        <w:rFonts w:hint="default"/>
        <w:lang w:val="en-US" w:eastAsia="en-US" w:bidi="ar-SA"/>
      </w:rPr>
    </w:lvl>
    <w:lvl w:ilvl="4" w:tplc="850A46DC">
      <w:start w:val="1"/>
      <w:numFmt w:val="bullet"/>
      <w:lvlText w:val="•"/>
      <w:lvlJc w:val="left"/>
      <w:pPr>
        <w:ind w:left="884" w:hanging="360"/>
      </w:pPr>
      <w:rPr>
        <w:rFonts w:hint="default"/>
        <w:lang w:val="en-US" w:eastAsia="en-US" w:bidi="ar-SA"/>
      </w:rPr>
    </w:lvl>
    <w:lvl w:ilvl="5" w:tplc="C4CC50AC">
      <w:start w:val="1"/>
      <w:numFmt w:val="bullet"/>
      <w:lvlText w:val="•"/>
      <w:lvlJc w:val="left"/>
      <w:pPr>
        <w:ind w:left="726" w:hanging="360"/>
      </w:pPr>
      <w:rPr>
        <w:rFonts w:hint="default"/>
        <w:lang w:val="en-US" w:eastAsia="en-US" w:bidi="ar-SA"/>
      </w:rPr>
    </w:lvl>
    <w:lvl w:ilvl="6" w:tplc="6BF63436">
      <w:start w:val="1"/>
      <w:numFmt w:val="bullet"/>
      <w:lvlText w:val="•"/>
      <w:lvlJc w:val="left"/>
      <w:pPr>
        <w:ind w:left="567" w:hanging="360"/>
      </w:pPr>
      <w:rPr>
        <w:rFonts w:hint="default"/>
        <w:lang w:val="en-US" w:eastAsia="en-US" w:bidi="ar-SA"/>
      </w:rPr>
    </w:lvl>
    <w:lvl w:ilvl="7" w:tplc="52F26996">
      <w:start w:val="1"/>
      <w:numFmt w:val="bullet"/>
      <w:lvlText w:val="•"/>
      <w:lvlJc w:val="left"/>
      <w:pPr>
        <w:ind w:left="409" w:hanging="360"/>
      </w:pPr>
      <w:rPr>
        <w:rFonts w:hint="default"/>
        <w:lang w:val="en-US" w:eastAsia="en-US" w:bidi="ar-SA"/>
      </w:rPr>
    </w:lvl>
    <w:lvl w:ilvl="8" w:tplc="2AB60BD2">
      <w:start w:val="1"/>
      <w:numFmt w:val="bullet"/>
      <w:lvlText w:val="•"/>
      <w:lvlJc w:val="left"/>
      <w:pPr>
        <w:ind w:left="250" w:hanging="360"/>
      </w:pPr>
      <w:rPr>
        <w:rFonts w:hint="default"/>
        <w:lang w:val="en-US" w:eastAsia="en-US" w:bidi="ar-SA"/>
      </w:rPr>
    </w:lvl>
  </w:abstractNum>
  <w:abstractNum w:abstractNumId="5">
    <w:nsid w:val="66F22471"/>
    <w:multiLevelType w:val="hybridMultilevel"/>
    <w:tmpl w:val="94201FD4"/>
    <w:lvl w:ilvl="0" w:tplc="634CCA0C">
      <w:start w:val="1"/>
      <w:numFmt w:val="decimal"/>
      <w:lvlText w:val="[%1]"/>
      <w:lvlJc w:val="left"/>
      <w:pPr>
        <w:ind w:left="628" w:hanging="344"/>
        <w:jc w:val="left"/>
      </w:pPr>
      <w:rPr>
        <w:rFonts w:ascii="Times New Roman" w:eastAsia="Times New Roman" w:hAnsi="Times New Roman" w:cs="Times New Roman" w:hint="default"/>
        <w:spacing w:val="-2"/>
        <w:w w:val="99"/>
        <w:sz w:val="20"/>
        <w:szCs w:val="20"/>
        <w:lang w:val="en-US" w:eastAsia="en-US" w:bidi="ar-SA"/>
      </w:rPr>
    </w:lvl>
    <w:lvl w:ilvl="1" w:tplc="C90E98DE">
      <w:numFmt w:val="bullet"/>
      <w:lvlText w:val="•"/>
      <w:lvlJc w:val="left"/>
      <w:pPr>
        <w:ind w:left="1020" w:hanging="344"/>
      </w:pPr>
      <w:rPr>
        <w:rFonts w:hint="default"/>
        <w:lang w:val="en-US" w:eastAsia="en-US" w:bidi="ar-SA"/>
      </w:rPr>
    </w:lvl>
    <w:lvl w:ilvl="2" w:tplc="F7F4DE46">
      <w:numFmt w:val="bullet"/>
      <w:lvlText w:val="•"/>
      <w:lvlJc w:val="left"/>
      <w:pPr>
        <w:ind w:left="1412" w:hanging="344"/>
      </w:pPr>
      <w:rPr>
        <w:rFonts w:hint="default"/>
        <w:lang w:val="en-US" w:eastAsia="en-US" w:bidi="ar-SA"/>
      </w:rPr>
    </w:lvl>
    <w:lvl w:ilvl="3" w:tplc="B2E20DFA">
      <w:numFmt w:val="bullet"/>
      <w:lvlText w:val="•"/>
      <w:lvlJc w:val="left"/>
      <w:pPr>
        <w:ind w:left="1804" w:hanging="344"/>
      </w:pPr>
      <w:rPr>
        <w:rFonts w:hint="default"/>
        <w:lang w:val="en-US" w:eastAsia="en-US" w:bidi="ar-SA"/>
      </w:rPr>
    </w:lvl>
    <w:lvl w:ilvl="4" w:tplc="94BA2062">
      <w:numFmt w:val="bullet"/>
      <w:lvlText w:val="•"/>
      <w:lvlJc w:val="left"/>
      <w:pPr>
        <w:ind w:left="2196" w:hanging="344"/>
      </w:pPr>
      <w:rPr>
        <w:rFonts w:hint="default"/>
        <w:lang w:val="en-US" w:eastAsia="en-US" w:bidi="ar-SA"/>
      </w:rPr>
    </w:lvl>
    <w:lvl w:ilvl="5" w:tplc="BC1AE68A">
      <w:numFmt w:val="bullet"/>
      <w:lvlText w:val="•"/>
      <w:lvlJc w:val="left"/>
      <w:pPr>
        <w:ind w:left="2589" w:hanging="344"/>
      </w:pPr>
      <w:rPr>
        <w:rFonts w:hint="default"/>
        <w:lang w:val="en-US" w:eastAsia="en-US" w:bidi="ar-SA"/>
      </w:rPr>
    </w:lvl>
    <w:lvl w:ilvl="6" w:tplc="E746E592">
      <w:numFmt w:val="bullet"/>
      <w:lvlText w:val="•"/>
      <w:lvlJc w:val="left"/>
      <w:pPr>
        <w:ind w:left="2981" w:hanging="344"/>
      </w:pPr>
      <w:rPr>
        <w:rFonts w:hint="default"/>
        <w:lang w:val="en-US" w:eastAsia="en-US" w:bidi="ar-SA"/>
      </w:rPr>
    </w:lvl>
    <w:lvl w:ilvl="7" w:tplc="BB8EBC92">
      <w:numFmt w:val="bullet"/>
      <w:lvlText w:val="•"/>
      <w:lvlJc w:val="left"/>
      <w:pPr>
        <w:ind w:left="3373" w:hanging="344"/>
      </w:pPr>
      <w:rPr>
        <w:rFonts w:hint="default"/>
        <w:lang w:val="en-US" w:eastAsia="en-US" w:bidi="ar-SA"/>
      </w:rPr>
    </w:lvl>
    <w:lvl w:ilvl="8" w:tplc="E4947CD4">
      <w:numFmt w:val="bullet"/>
      <w:lvlText w:val="•"/>
      <w:lvlJc w:val="left"/>
      <w:pPr>
        <w:ind w:left="3765" w:hanging="344"/>
      </w:pPr>
      <w:rPr>
        <w:rFonts w:hint="default"/>
        <w:lang w:val="en-US" w:eastAsia="en-US" w:bidi="ar-SA"/>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AE"/>
    <w:rsid w:val="0005725E"/>
    <w:rsid w:val="00130422"/>
    <w:rsid w:val="00184329"/>
    <w:rsid w:val="002377D0"/>
    <w:rsid w:val="002F592C"/>
    <w:rsid w:val="0030502D"/>
    <w:rsid w:val="0044492D"/>
    <w:rsid w:val="005D32FE"/>
    <w:rsid w:val="00616059"/>
    <w:rsid w:val="006168D0"/>
    <w:rsid w:val="006E57EA"/>
    <w:rsid w:val="00755FD4"/>
    <w:rsid w:val="007B4A05"/>
    <w:rsid w:val="008B4124"/>
    <w:rsid w:val="00957B04"/>
    <w:rsid w:val="009751AF"/>
    <w:rsid w:val="009B0611"/>
    <w:rsid w:val="009E0816"/>
    <w:rsid w:val="009E274C"/>
    <w:rsid w:val="00A040EF"/>
    <w:rsid w:val="00A16690"/>
    <w:rsid w:val="00A50721"/>
    <w:rsid w:val="00A93DAE"/>
    <w:rsid w:val="00AA0CAE"/>
    <w:rsid w:val="00AC4D36"/>
    <w:rsid w:val="00C9208D"/>
    <w:rsid w:val="00D84EB3"/>
    <w:rsid w:val="00DE13BA"/>
    <w:rsid w:val="00E306D1"/>
    <w:rsid w:val="00F06967"/>
    <w:rsid w:val="00F12BC4"/>
    <w:rsid w:val="00F42C56"/>
    <w:rsid w:val="00FD1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jc w:val="both"/>
    </w:pPr>
    <w:rPr>
      <w:sz w:val="20"/>
      <w:szCs w:val="20"/>
    </w:rPr>
  </w:style>
  <w:style w:type="paragraph" w:styleId="Title">
    <w:name w:val="Title"/>
    <w:basedOn w:val="Normal"/>
    <w:uiPriority w:val="10"/>
    <w:qFormat/>
    <w:pPr>
      <w:spacing w:before="89"/>
      <w:ind w:left="786" w:right="784" w:hanging="1"/>
      <w:jc w:val="center"/>
    </w:pPr>
    <w:rPr>
      <w:b/>
      <w:bCs/>
      <w:sz w:val="26"/>
      <w:szCs w:val="26"/>
    </w:rPr>
  </w:style>
  <w:style w:type="paragraph" w:styleId="ListParagraph">
    <w:name w:val="List Paragraph"/>
    <w:basedOn w:val="Normal"/>
    <w:uiPriority w:val="1"/>
    <w:qFormat/>
    <w:pPr>
      <w:ind w:left="1360" w:hanging="360"/>
      <w:jc w:val="both"/>
    </w:pPr>
  </w:style>
  <w:style w:type="paragraph" w:customStyle="1" w:styleId="TableParagraph">
    <w:name w:val="Table Paragraph"/>
    <w:basedOn w:val="Normal"/>
    <w:uiPriority w:val="1"/>
    <w:qFormat/>
    <w:pPr>
      <w:spacing w:line="210" w:lineRule="exact"/>
      <w:jc w:val="center"/>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
    <w:name w:val="Unresolved Mention"/>
    <w:basedOn w:val="DefaultParagraphFont"/>
    <w:uiPriority w:val="99"/>
    <w:semiHidden/>
    <w:unhideWhenUsed/>
    <w:rsid w:val="00E306D1"/>
    <w:rPr>
      <w:color w:val="605E5C"/>
      <w:shd w:val="clear" w:color="auto" w:fill="E1DFDD"/>
    </w:rPr>
  </w:style>
  <w:style w:type="paragraph" w:styleId="Header">
    <w:name w:val="header"/>
    <w:basedOn w:val="Normal"/>
    <w:link w:val="HeaderChar"/>
    <w:uiPriority w:val="99"/>
    <w:unhideWhenUsed/>
    <w:rsid w:val="00616059"/>
    <w:pPr>
      <w:tabs>
        <w:tab w:val="center" w:pos="4153"/>
        <w:tab w:val="right" w:pos="8306"/>
      </w:tabs>
    </w:pPr>
  </w:style>
  <w:style w:type="character" w:customStyle="1" w:styleId="HeaderChar">
    <w:name w:val="Header Char"/>
    <w:basedOn w:val="DefaultParagraphFont"/>
    <w:link w:val="Header"/>
    <w:uiPriority w:val="99"/>
    <w:rsid w:val="00616059"/>
    <w:rPr>
      <w:rFonts w:ascii="Times New Roman" w:eastAsia="Times New Roman" w:hAnsi="Times New Roman" w:cs="Times New Roman"/>
    </w:rPr>
  </w:style>
  <w:style w:type="paragraph" w:styleId="Footer">
    <w:name w:val="footer"/>
    <w:basedOn w:val="Normal"/>
    <w:link w:val="FooterChar"/>
    <w:uiPriority w:val="99"/>
    <w:unhideWhenUsed/>
    <w:rsid w:val="00616059"/>
    <w:pPr>
      <w:tabs>
        <w:tab w:val="center" w:pos="4153"/>
        <w:tab w:val="right" w:pos="8306"/>
      </w:tabs>
    </w:pPr>
  </w:style>
  <w:style w:type="character" w:customStyle="1" w:styleId="FooterChar">
    <w:name w:val="Footer Char"/>
    <w:basedOn w:val="DefaultParagraphFont"/>
    <w:link w:val="Footer"/>
    <w:uiPriority w:val="99"/>
    <w:rsid w:val="0061605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06967"/>
    <w:rPr>
      <w:rFonts w:ascii="Tahoma" w:hAnsi="Tahoma" w:cs="Tahoma"/>
      <w:sz w:val="16"/>
      <w:szCs w:val="16"/>
    </w:rPr>
  </w:style>
  <w:style w:type="character" w:customStyle="1" w:styleId="BalloonTextChar">
    <w:name w:val="Balloon Text Char"/>
    <w:basedOn w:val="DefaultParagraphFont"/>
    <w:link w:val="BalloonText"/>
    <w:uiPriority w:val="99"/>
    <w:semiHidden/>
    <w:rsid w:val="00F06967"/>
    <w:rPr>
      <w:rFonts w:ascii="Tahoma" w:eastAsia="Times New Roman" w:hAnsi="Tahoma" w:cs="Tahoma"/>
      <w:sz w:val="16"/>
      <w:szCs w:val="16"/>
    </w:rPr>
  </w:style>
  <w:style w:type="table" w:styleId="TableGrid">
    <w:name w:val="Table Grid"/>
    <w:basedOn w:val="TableNormal"/>
    <w:uiPriority w:val="39"/>
    <w:rsid w:val="00F06967"/>
    <w:pPr>
      <w:widowControl/>
      <w:autoSpaceDE/>
      <w:autoSpaceDN/>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jc w:val="both"/>
    </w:pPr>
    <w:rPr>
      <w:sz w:val="20"/>
      <w:szCs w:val="20"/>
    </w:rPr>
  </w:style>
  <w:style w:type="paragraph" w:styleId="Title">
    <w:name w:val="Title"/>
    <w:basedOn w:val="Normal"/>
    <w:uiPriority w:val="10"/>
    <w:qFormat/>
    <w:pPr>
      <w:spacing w:before="89"/>
      <w:ind w:left="786" w:right="784" w:hanging="1"/>
      <w:jc w:val="center"/>
    </w:pPr>
    <w:rPr>
      <w:b/>
      <w:bCs/>
      <w:sz w:val="26"/>
      <w:szCs w:val="26"/>
    </w:rPr>
  </w:style>
  <w:style w:type="paragraph" w:styleId="ListParagraph">
    <w:name w:val="List Paragraph"/>
    <w:basedOn w:val="Normal"/>
    <w:uiPriority w:val="1"/>
    <w:qFormat/>
    <w:pPr>
      <w:ind w:left="1360" w:hanging="360"/>
      <w:jc w:val="both"/>
    </w:pPr>
  </w:style>
  <w:style w:type="paragraph" w:customStyle="1" w:styleId="TableParagraph">
    <w:name w:val="Table Paragraph"/>
    <w:basedOn w:val="Normal"/>
    <w:uiPriority w:val="1"/>
    <w:qFormat/>
    <w:pPr>
      <w:spacing w:line="210" w:lineRule="exact"/>
      <w:jc w:val="center"/>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
    <w:name w:val="Unresolved Mention"/>
    <w:basedOn w:val="DefaultParagraphFont"/>
    <w:uiPriority w:val="99"/>
    <w:semiHidden/>
    <w:unhideWhenUsed/>
    <w:rsid w:val="00E306D1"/>
    <w:rPr>
      <w:color w:val="605E5C"/>
      <w:shd w:val="clear" w:color="auto" w:fill="E1DFDD"/>
    </w:rPr>
  </w:style>
  <w:style w:type="paragraph" w:styleId="Header">
    <w:name w:val="header"/>
    <w:basedOn w:val="Normal"/>
    <w:link w:val="HeaderChar"/>
    <w:uiPriority w:val="99"/>
    <w:unhideWhenUsed/>
    <w:rsid w:val="00616059"/>
    <w:pPr>
      <w:tabs>
        <w:tab w:val="center" w:pos="4153"/>
        <w:tab w:val="right" w:pos="8306"/>
      </w:tabs>
    </w:pPr>
  </w:style>
  <w:style w:type="character" w:customStyle="1" w:styleId="HeaderChar">
    <w:name w:val="Header Char"/>
    <w:basedOn w:val="DefaultParagraphFont"/>
    <w:link w:val="Header"/>
    <w:uiPriority w:val="99"/>
    <w:rsid w:val="00616059"/>
    <w:rPr>
      <w:rFonts w:ascii="Times New Roman" w:eastAsia="Times New Roman" w:hAnsi="Times New Roman" w:cs="Times New Roman"/>
    </w:rPr>
  </w:style>
  <w:style w:type="paragraph" w:styleId="Footer">
    <w:name w:val="footer"/>
    <w:basedOn w:val="Normal"/>
    <w:link w:val="FooterChar"/>
    <w:uiPriority w:val="99"/>
    <w:unhideWhenUsed/>
    <w:rsid w:val="00616059"/>
    <w:pPr>
      <w:tabs>
        <w:tab w:val="center" w:pos="4153"/>
        <w:tab w:val="right" w:pos="8306"/>
      </w:tabs>
    </w:pPr>
  </w:style>
  <w:style w:type="character" w:customStyle="1" w:styleId="FooterChar">
    <w:name w:val="Footer Char"/>
    <w:basedOn w:val="DefaultParagraphFont"/>
    <w:link w:val="Footer"/>
    <w:uiPriority w:val="99"/>
    <w:rsid w:val="0061605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06967"/>
    <w:rPr>
      <w:rFonts w:ascii="Tahoma" w:hAnsi="Tahoma" w:cs="Tahoma"/>
      <w:sz w:val="16"/>
      <w:szCs w:val="16"/>
    </w:rPr>
  </w:style>
  <w:style w:type="character" w:customStyle="1" w:styleId="BalloonTextChar">
    <w:name w:val="Balloon Text Char"/>
    <w:basedOn w:val="DefaultParagraphFont"/>
    <w:link w:val="BalloonText"/>
    <w:uiPriority w:val="99"/>
    <w:semiHidden/>
    <w:rsid w:val="00F06967"/>
    <w:rPr>
      <w:rFonts w:ascii="Tahoma" w:eastAsia="Times New Roman" w:hAnsi="Tahoma" w:cs="Tahoma"/>
      <w:sz w:val="16"/>
      <w:szCs w:val="16"/>
    </w:rPr>
  </w:style>
  <w:style w:type="table" w:styleId="TableGrid">
    <w:name w:val="Table Grid"/>
    <w:basedOn w:val="TableNormal"/>
    <w:uiPriority w:val="39"/>
    <w:rsid w:val="00F06967"/>
    <w:pPr>
      <w:widowControl/>
      <w:autoSpaceDE/>
      <w:autoSpaceDN/>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38769">
      <w:bodyDiv w:val="1"/>
      <w:marLeft w:val="0"/>
      <w:marRight w:val="0"/>
      <w:marTop w:val="0"/>
      <w:marBottom w:val="0"/>
      <w:divBdr>
        <w:top w:val="none" w:sz="0" w:space="0" w:color="auto"/>
        <w:left w:val="none" w:sz="0" w:space="0" w:color="auto"/>
        <w:bottom w:val="none" w:sz="0" w:space="0" w:color="auto"/>
        <w:right w:val="none" w:sz="0" w:space="0" w:color="auto"/>
      </w:divBdr>
      <w:divsChild>
        <w:div w:id="1064989876">
          <w:marLeft w:val="0"/>
          <w:marRight w:val="0"/>
          <w:marTop w:val="166"/>
          <w:marBottom w:val="166"/>
          <w:divBdr>
            <w:top w:val="none" w:sz="0" w:space="0" w:color="auto"/>
            <w:left w:val="none" w:sz="0" w:space="0" w:color="auto"/>
            <w:bottom w:val="none" w:sz="0" w:space="0" w:color="auto"/>
            <w:right w:val="none" w:sz="0" w:space="0" w:color="auto"/>
          </w:divBdr>
        </w:div>
        <w:div w:id="1097210667">
          <w:marLeft w:val="0"/>
          <w:marRight w:val="0"/>
          <w:marTop w:val="166"/>
          <w:marBottom w:val="166"/>
          <w:divBdr>
            <w:top w:val="none" w:sz="0" w:space="0" w:color="auto"/>
            <w:left w:val="none" w:sz="0" w:space="0" w:color="auto"/>
            <w:bottom w:val="none" w:sz="0" w:space="0" w:color="auto"/>
            <w:right w:val="none" w:sz="0" w:space="0" w:color="auto"/>
          </w:divBdr>
        </w:div>
        <w:div w:id="1446998251">
          <w:marLeft w:val="0"/>
          <w:marRight w:val="0"/>
          <w:marTop w:val="166"/>
          <w:marBottom w:val="166"/>
          <w:divBdr>
            <w:top w:val="none" w:sz="0" w:space="0" w:color="auto"/>
            <w:left w:val="none" w:sz="0" w:space="0" w:color="auto"/>
            <w:bottom w:val="none" w:sz="0" w:space="0" w:color="auto"/>
            <w:right w:val="none" w:sz="0" w:space="0" w:color="auto"/>
          </w:divBdr>
        </w:div>
        <w:div w:id="2118257592">
          <w:marLeft w:val="0"/>
          <w:marRight w:val="0"/>
          <w:marTop w:val="166"/>
          <w:marBottom w:val="166"/>
          <w:divBdr>
            <w:top w:val="none" w:sz="0" w:space="0" w:color="auto"/>
            <w:left w:val="none" w:sz="0" w:space="0" w:color="auto"/>
            <w:bottom w:val="none" w:sz="0" w:space="0" w:color="auto"/>
            <w:right w:val="none" w:sz="0" w:space="0" w:color="auto"/>
          </w:divBdr>
        </w:div>
      </w:divsChild>
    </w:div>
    <w:div w:id="1701274458">
      <w:bodyDiv w:val="1"/>
      <w:marLeft w:val="0"/>
      <w:marRight w:val="0"/>
      <w:marTop w:val="0"/>
      <w:marBottom w:val="0"/>
      <w:divBdr>
        <w:top w:val="none" w:sz="0" w:space="0" w:color="auto"/>
        <w:left w:val="none" w:sz="0" w:space="0" w:color="auto"/>
        <w:bottom w:val="none" w:sz="0" w:space="0" w:color="auto"/>
        <w:right w:val="none" w:sz="0" w:space="0" w:color="auto"/>
      </w:divBdr>
      <w:divsChild>
        <w:div w:id="601650242">
          <w:marLeft w:val="0"/>
          <w:marRight w:val="0"/>
          <w:marTop w:val="166"/>
          <w:marBottom w:val="166"/>
          <w:divBdr>
            <w:top w:val="none" w:sz="0" w:space="0" w:color="auto"/>
            <w:left w:val="none" w:sz="0" w:space="0" w:color="auto"/>
            <w:bottom w:val="none" w:sz="0" w:space="0" w:color="auto"/>
            <w:right w:val="none" w:sz="0" w:space="0" w:color="auto"/>
          </w:divBdr>
        </w:div>
        <w:div w:id="697239473">
          <w:marLeft w:val="0"/>
          <w:marRight w:val="0"/>
          <w:marTop w:val="166"/>
          <w:marBottom w:val="166"/>
          <w:divBdr>
            <w:top w:val="none" w:sz="0" w:space="0" w:color="auto"/>
            <w:left w:val="none" w:sz="0" w:space="0" w:color="auto"/>
            <w:bottom w:val="none" w:sz="0" w:space="0" w:color="auto"/>
            <w:right w:val="none" w:sz="0" w:space="0" w:color="auto"/>
          </w:divBdr>
        </w:div>
        <w:div w:id="401606288">
          <w:marLeft w:val="0"/>
          <w:marRight w:val="0"/>
          <w:marTop w:val="166"/>
          <w:marBottom w:val="166"/>
          <w:divBdr>
            <w:top w:val="none" w:sz="0" w:space="0" w:color="auto"/>
            <w:left w:val="none" w:sz="0" w:space="0" w:color="auto"/>
            <w:bottom w:val="none" w:sz="0" w:space="0" w:color="auto"/>
            <w:right w:val="none" w:sz="0" w:space="0" w:color="auto"/>
          </w:divBdr>
        </w:div>
        <w:div w:id="1019357092">
          <w:marLeft w:val="0"/>
          <w:marRight w:val="0"/>
          <w:marTop w:val="166"/>
          <w:marBottom w:val="166"/>
          <w:divBdr>
            <w:top w:val="none" w:sz="0" w:space="0" w:color="auto"/>
            <w:left w:val="none" w:sz="0" w:space="0" w:color="auto"/>
            <w:bottom w:val="none" w:sz="0" w:space="0" w:color="auto"/>
            <w:right w:val="none" w:sz="0" w:space="0" w:color="auto"/>
          </w:divBdr>
        </w:div>
        <w:div w:id="1372459188">
          <w:marLeft w:val="0"/>
          <w:marRight w:val="0"/>
          <w:marTop w:val="166"/>
          <w:marBottom w:val="166"/>
          <w:divBdr>
            <w:top w:val="none" w:sz="0" w:space="0" w:color="auto"/>
            <w:left w:val="none" w:sz="0" w:space="0" w:color="auto"/>
            <w:bottom w:val="none" w:sz="0" w:space="0" w:color="auto"/>
            <w:right w:val="none" w:sz="0" w:space="0" w:color="auto"/>
          </w:divBdr>
        </w:div>
      </w:divsChild>
    </w:div>
    <w:div w:id="1838569684">
      <w:bodyDiv w:val="1"/>
      <w:marLeft w:val="0"/>
      <w:marRight w:val="0"/>
      <w:marTop w:val="0"/>
      <w:marBottom w:val="0"/>
      <w:divBdr>
        <w:top w:val="none" w:sz="0" w:space="0" w:color="auto"/>
        <w:left w:val="none" w:sz="0" w:space="0" w:color="auto"/>
        <w:bottom w:val="none" w:sz="0" w:space="0" w:color="auto"/>
        <w:right w:val="none" w:sz="0" w:space="0" w:color="auto"/>
      </w:divBdr>
      <w:divsChild>
        <w:div w:id="886527088">
          <w:marLeft w:val="0"/>
          <w:marRight w:val="0"/>
          <w:marTop w:val="166"/>
          <w:marBottom w:val="166"/>
          <w:divBdr>
            <w:top w:val="none" w:sz="0" w:space="0" w:color="auto"/>
            <w:left w:val="none" w:sz="0" w:space="0" w:color="auto"/>
            <w:bottom w:val="none" w:sz="0" w:space="0" w:color="auto"/>
            <w:right w:val="none" w:sz="0" w:space="0" w:color="auto"/>
          </w:divBdr>
        </w:div>
        <w:div w:id="2079741958">
          <w:marLeft w:val="0"/>
          <w:marRight w:val="0"/>
          <w:marTop w:val="166"/>
          <w:marBottom w:val="166"/>
          <w:divBdr>
            <w:top w:val="none" w:sz="0" w:space="0" w:color="auto"/>
            <w:left w:val="none" w:sz="0" w:space="0" w:color="auto"/>
            <w:bottom w:val="none" w:sz="0" w:space="0" w:color="auto"/>
            <w:right w:val="none" w:sz="0" w:space="0" w:color="auto"/>
          </w:divBdr>
        </w:div>
        <w:div w:id="1839727995">
          <w:marLeft w:val="0"/>
          <w:marRight w:val="0"/>
          <w:marTop w:val="166"/>
          <w:marBottom w:val="166"/>
          <w:divBdr>
            <w:top w:val="none" w:sz="0" w:space="0" w:color="auto"/>
            <w:left w:val="none" w:sz="0" w:space="0" w:color="auto"/>
            <w:bottom w:val="none" w:sz="0" w:space="0" w:color="auto"/>
            <w:right w:val="none" w:sz="0" w:space="0" w:color="auto"/>
          </w:divBdr>
        </w:div>
        <w:div w:id="1264453485">
          <w:marLeft w:val="0"/>
          <w:marRight w:val="0"/>
          <w:marTop w:val="166"/>
          <w:marBottom w:val="166"/>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fmed.bu.edu.e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bjas.journals.ekb.e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Risk scores</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Syntax score</c:v>
                </c:pt>
              </c:strCache>
            </c:strRef>
          </c:tx>
          <c:spPr>
            <a:solidFill>
              <a:schemeClr val="accent1"/>
            </a:solidFill>
            <a:ln>
              <a:noFill/>
            </a:ln>
            <a:effectLst/>
            <a:sp3d/>
          </c:spPr>
          <c:invertIfNegative val="0"/>
          <c:cat>
            <c:strRef>
              <c:f>Sheet1!$A$2:$A$4</c:f>
              <c:strCache>
                <c:ptCount val="3"/>
                <c:pt idx="0">
                  <c:v>Low risk</c:v>
                </c:pt>
                <c:pt idx="1">
                  <c:v>Intermediate risk</c:v>
                </c:pt>
                <c:pt idx="2">
                  <c:v>High risk</c:v>
                </c:pt>
              </c:strCache>
            </c:strRef>
          </c:cat>
          <c:val>
            <c:numRef>
              <c:f>Sheet1!$B$2:$B$4</c:f>
              <c:numCache>
                <c:formatCode>0.00%</c:formatCode>
                <c:ptCount val="3"/>
                <c:pt idx="0">
                  <c:v>0.77500000000000002</c:v>
                </c:pt>
                <c:pt idx="1">
                  <c:v>0.156</c:v>
                </c:pt>
                <c:pt idx="2">
                  <c:v>6.9000000000000006E-2</c:v>
                </c:pt>
              </c:numCache>
            </c:numRef>
          </c:val>
          <c:extLst xmlns:c16r2="http://schemas.microsoft.com/office/drawing/2015/06/chart">
            <c:ext xmlns:c16="http://schemas.microsoft.com/office/drawing/2014/chart" uri="{C3380CC4-5D6E-409C-BE32-E72D297353CC}">
              <c16:uniqueId val="{00000000-EB00-447A-B65E-D6BC9536AF67}"/>
            </c:ext>
          </c:extLst>
        </c:ser>
        <c:ser>
          <c:idx val="1"/>
          <c:order val="1"/>
          <c:tx>
            <c:strRef>
              <c:f>Sheet1!$C$1</c:f>
              <c:strCache>
                <c:ptCount val="1"/>
                <c:pt idx="0">
                  <c:v>CHADS VASC score </c:v>
                </c:pt>
              </c:strCache>
            </c:strRef>
          </c:tx>
          <c:spPr>
            <a:solidFill>
              <a:schemeClr val="accent2"/>
            </a:solidFill>
            <a:ln>
              <a:noFill/>
            </a:ln>
            <a:effectLst/>
            <a:sp3d/>
          </c:spPr>
          <c:invertIfNegative val="0"/>
          <c:cat>
            <c:strRef>
              <c:f>Sheet1!$A$2:$A$4</c:f>
              <c:strCache>
                <c:ptCount val="3"/>
                <c:pt idx="0">
                  <c:v>Low risk</c:v>
                </c:pt>
                <c:pt idx="1">
                  <c:v>Intermediate risk</c:v>
                </c:pt>
                <c:pt idx="2">
                  <c:v>High risk</c:v>
                </c:pt>
              </c:strCache>
            </c:strRef>
          </c:cat>
          <c:val>
            <c:numRef>
              <c:f>Sheet1!$C$2:$C$4</c:f>
              <c:numCache>
                <c:formatCode>0.00%</c:formatCode>
                <c:ptCount val="3"/>
                <c:pt idx="0">
                  <c:v>0.435</c:v>
                </c:pt>
                <c:pt idx="1">
                  <c:v>0.499</c:v>
                </c:pt>
                <c:pt idx="2">
                  <c:v>6.6000000000000003E-2</c:v>
                </c:pt>
              </c:numCache>
            </c:numRef>
          </c:val>
          <c:extLst xmlns:c16r2="http://schemas.microsoft.com/office/drawing/2015/06/chart">
            <c:ext xmlns:c16="http://schemas.microsoft.com/office/drawing/2014/chart" uri="{C3380CC4-5D6E-409C-BE32-E72D297353CC}">
              <c16:uniqueId val="{00000001-EB00-447A-B65E-D6BC9536AF67}"/>
            </c:ext>
          </c:extLst>
        </c:ser>
        <c:dLbls>
          <c:showLegendKey val="0"/>
          <c:showVal val="0"/>
          <c:showCatName val="0"/>
          <c:showSerName val="0"/>
          <c:showPercent val="0"/>
          <c:showBubbleSize val="0"/>
        </c:dLbls>
        <c:gapWidth val="150"/>
        <c:shape val="box"/>
        <c:axId val="133269376"/>
        <c:axId val="138985472"/>
        <c:axId val="0"/>
      </c:bar3DChart>
      <c:catAx>
        <c:axId val="133269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85472"/>
        <c:crosses val="autoZero"/>
        <c:auto val="1"/>
        <c:lblAlgn val="ctr"/>
        <c:lblOffset val="100"/>
        <c:noMultiLvlLbl val="0"/>
      </c:catAx>
      <c:valAx>
        <c:axId val="138985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3269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2088</Words>
  <Characters>11902</Characters>
  <Application>Microsoft Office Word</Application>
  <DocSecurity>0</DocSecurity>
  <Lines>99</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pc1</cp:lastModifiedBy>
  <cp:revision>3</cp:revision>
  <cp:lastPrinted>2022-03-06T09:31:00Z</cp:lastPrinted>
  <dcterms:created xsi:type="dcterms:W3CDTF">2022-03-06T09:26:00Z</dcterms:created>
  <dcterms:modified xsi:type="dcterms:W3CDTF">2022-03-06T09:40:00Z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2010</vt:lpwstr>
  </property>
  <property fmtid="{D5CDD505-2E9C-101B-9397-08002B2CF9AE}" pid="4" name="LastSaved">
    <vt:filetime>2022-02-19T00:00:00Z</vt:filetime>
  </property>
</Properties>
</file>